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jc w:val="both"/>
        <w:ind w:left="3900" w:right="3780" w:hanging="22"/>
        <w:spacing w:after="0" w:line="308" w:lineRule="auto"/>
        <w:tabs>
          <w:tab w:leader="none" w:pos="431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w:t>
      </w:r>
    </w:p>
    <w:p>
      <w:pPr>
        <w:spacing w:after="0" w:line="14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EXCHANGE ACT OF 1934</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jc w:val="center"/>
        <w:ind w:left="4540" w:right="1960" w:hanging="2494"/>
        <w:spacing w:after="0" w:line="282" w:lineRule="auto"/>
        <w:tabs>
          <w:tab w:leader="none" w:pos="225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000-30141</w:t>
      </w: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wp:posOffset>
            </wp:positionH>
            <wp:positionV relativeFrom="paragraph">
              <wp:posOffset>34290</wp:posOffset>
            </wp:positionV>
            <wp:extent cx="70548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17145"/>
                    </a:xfrm>
                    <a:prstGeom prst="rect">
                      <a:avLst/>
                    </a:prstGeom>
                    <a:noFill/>
                  </pic:spPr>
                </pic:pic>
              </a:graphicData>
            </a:graphic>
          </wp:anchor>
        </w:drawing>
      </w:r>
    </w:p>
    <w:p>
      <w:pPr>
        <w:spacing w:after="0" w:line="7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306" w:lineRule="exact"/>
        <w:rPr>
          <w:sz w:val="24"/>
          <w:szCs w:val="24"/>
          <w:color w:val="auto"/>
        </w:rPr>
      </w:pPr>
    </w:p>
    <w:tbl>
      <w:tblPr>
        <w:tblLayout w:type="fixed"/>
        <w:tblInd w:w="980" w:type="dxa"/>
        <w:tblCellMar>
          <w:top w:w="0" w:type="dxa"/>
          <w:left w:w="0" w:type="dxa"/>
          <w:bottom w:w="0" w:type="dxa"/>
          <w:right w:w="0" w:type="dxa"/>
        </w:tblCellMar>
      </w:tblPr>
      <w:tr>
        <w:trPr>
          <w:trHeight w:val="230"/>
        </w:trPr>
        <w:tc>
          <w:tcPr>
            <w:tcW w:w="4940" w:type="dxa"/>
            <w:vAlign w:val="bottom"/>
            <w:gridSpan w:val="2"/>
          </w:tcPr>
          <w:p>
            <w:pPr>
              <w:jc w:val="center"/>
              <w:ind w:right="720"/>
              <w:spacing w:after="0"/>
              <w:rPr>
                <w:sz w:val="20"/>
                <w:szCs w:val="20"/>
                <w:color w:val="auto"/>
              </w:rPr>
            </w:pPr>
            <w:r>
              <w:rPr>
                <w:rFonts w:ascii="Arial" w:cs="Arial" w:eastAsia="Arial" w:hAnsi="Arial"/>
                <w:sz w:val="18"/>
                <w:szCs w:val="18"/>
                <w:color w:val="auto"/>
                <w:w w:val="92"/>
              </w:rPr>
              <w:t>Delaware</w:t>
            </w:r>
          </w:p>
        </w:tc>
        <w:tc>
          <w:tcPr>
            <w:tcW w:w="4360" w:type="dxa"/>
            <w:vAlign w:val="bottom"/>
          </w:tcPr>
          <w:p>
            <w:pPr>
              <w:jc w:val="right"/>
              <w:ind w:right="1675"/>
              <w:spacing w:after="0"/>
              <w:rPr>
                <w:sz w:val="20"/>
                <w:szCs w:val="20"/>
                <w:color w:val="auto"/>
              </w:rPr>
            </w:pPr>
            <w:r>
              <w:rPr>
                <w:rFonts w:ascii="Arial" w:cs="Arial" w:eastAsia="Arial" w:hAnsi="Arial"/>
                <w:sz w:val="18"/>
                <w:szCs w:val="18"/>
                <w:color w:val="auto"/>
              </w:rPr>
              <w:t>13-3861628</w:t>
            </w:r>
          </w:p>
        </w:tc>
      </w:tr>
      <w:tr>
        <w:trPr>
          <w:trHeight w:val="34"/>
        </w:trPr>
        <w:tc>
          <w:tcPr>
            <w:tcW w:w="424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24"/>
        </w:trPr>
        <w:tc>
          <w:tcPr>
            <w:tcW w:w="4940" w:type="dxa"/>
            <w:vAlign w:val="bottom"/>
            <w:gridSpan w:val="2"/>
          </w:tcPr>
          <w:p>
            <w:pPr>
              <w:jc w:val="center"/>
              <w:ind w:right="72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360" w:type="dxa"/>
            <w:vAlign w:val="bottom"/>
          </w:tcPr>
          <w:p>
            <w:pPr>
              <w:jc w:val="center"/>
              <w:spacing w:after="0"/>
              <w:rPr>
                <w:sz w:val="20"/>
                <w:szCs w:val="20"/>
                <w:color w:val="auto"/>
              </w:rPr>
            </w:pPr>
            <w:r>
              <w:rPr>
                <w:rFonts w:ascii="Arial" w:cs="Arial" w:eastAsia="Arial" w:hAnsi="Arial"/>
                <w:sz w:val="16"/>
                <w:szCs w:val="16"/>
                <w:color w:val="auto"/>
                <w:w w:val="96"/>
              </w:rPr>
              <w:t>(IRS Employer Identification No.)</w:t>
            </w:r>
          </w:p>
        </w:tc>
      </w:tr>
      <w:tr>
        <w:trPr>
          <w:trHeight w:val="438"/>
        </w:trPr>
        <w:tc>
          <w:tcPr>
            <w:tcW w:w="494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475 Tenth Avenue, 5th Floor</w:t>
            </w:r>
          </w:p>
        </w:tc>
        <w:tc>
          <w:tcPr>
            <w:tcW w:w="4360" w:type="dxa"/>
            <w:vAlign w:val="bottom"/>
          </w:tcPr>
          <w:p>
            <w:pPr>
              <w:spacing w:after="0"/>
              <w:rPr>
                <w:sz w:val="24"/>
                <w:szCs w:val="24"/>
                <w:color w:val="auto"/>
              </w:rPr>
            </w:pPr>
          </w:p>
        </w:tc>
      </w:tr>
      <w:tr>
        <w:trPr>
          <w:trHeight w:val="270"/>
        </w:trPr>
        <w:tc>
          <w:tcPr>
            <w:tcW w:w="4940" w:type="dxa"/>
            <w:vAlign w:val="bottom"/>
            <w:gridSpan w:val="2"/>
          </w:tcPr>
          <w:p>
            <w:pPr>
              <w:jc w:val="center"/>
              <w:ind w:right="760"/>
              <w:spacing w:after="0"/>
              <w:rPr>
                <w:sz w:val="20"/>
                <w:szCs w:val="20"/>
                <w:color w:val="auto"/>
              </w:rPr>
            </w:pPr>
            <w:r>
              <w:rPr>
                <w:rFonts w:ascii="Arial" w:cs="Arial" w:eastAsia="Arial" w:hAnsi="Arial"/>
                <w:sz w:val="18"/>
                <w:szCs w:val="18"/>
                <w:color w:val="auto"/>
                <w:w w:val="95"/>
              </w:rPr>
              <w:t>New York, New York</w:t>
            </w:r>
          </w:p>
        </w:tc>
        <w:tc>
          <w:tcPr>
            <w:tcW w:w="4360" w:type="dxa"/>
            <w:vAlign w:val="bottom"/>
          </w:tcPr>
          <w:p>
            <w:pPr>
              <w:jc w:val="right"/>
              <w:ind w:right="1875"/>
              <w:spacing w:after="0"/>
              <w:rPr>
                <w:sz w:val="20"/>
                <w:szCs w:val="20"/>
                <w:color w:val="auto"/>
              </w:rPr>
            </w:pPr>
            <w:r>
              <w:rPr>
                <w:rFonts w:ascii="Arial" w:cs="Arial" w:eastAsia="Arial" w:hAnsi="Arial"/>
                <w:sz w:val="18"/>
                <w:szCs w:val="18"/>
                <w:color w:val="auto"/>
              </w:rPr>
              <w:t>10018</w:t>
            </w:r>
          </w:p>
        </w:tc>
      </w:tr>
      <w:tr>
        <w:trPr>
          <w:trHeight w:val="34"/>
        </w:trPr>
        <w:tc>
          <w:tcPr>
            <w:tcW w:w="424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23"/>
        </w:trPr>
        <w:tc>
          <w:tcPr>
            <w:tcW w:w="4940" w:type="dxa"/>
            <w:vAlign w:val="bottom"/>
            <w:gridSpan w:val="2"/>
          </w:tcPr>
          <w:p>
            <w:pPr>
              <w:jc w:val="center"/>
              <w:ind w:right="700"/>
              <w:spacing w:after="0"/>
              <w:rPr>
                <w:sz w:val="20"/>
                <w:szCs w:val="20"/>
                <w:color w:val="auto"/>
              </w:rPr>
            </w:pPr>
            <w:r>
              <w:rPr>
                <w:rFonts w:ascii="Arial" w:cs="Arial" w:eastAsia="Arial" w:hAnsi="Arial"/>
                <w:sz w:val="16"/>
                <w:szCs w:val="16"/>
                <w:color w:val="auto"/>
                <w:w w:val="93"/>
              </w:rPr>
              <w:t>(Address of Principal Executive Offices)</w:t>
            </w:r>
          </w:p>
        </w:tc>
        <w:tc>
          <w:tcPr>
            <w:tcW w:w="436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(212) 609-4200</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157" w:lineRule="exact"/>
        <w:rPr>
          <w:sz w:val="24"/>
          <w:szCs w:val="24"/>
          <w:color w:val="auto"/>
        </w:rPr>
      </w:pPr>
    </w:p>
    <w:p>
      <w:pPr>
        <w:ind w:left="1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0294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61" w:lineRule="exact"/>
        <w:rPr>
          <w:sz w:val="24"/>
          <w:szCs w:val="24"/>
          <w:color w:val="auto"/>
        </w:rPr>
      </w:pPr>
    </w:p>
    <w:tbl>
      <w:tblPr>
        <w:tblLayout w:type="fixed"/>
        <w:tblInd w:w="80" w:type="dxa"/>
        <w:tblCellMar>
          <w:top w:w="0" w:type="dxa"/>
          <w:left w:w="0" w:type="dxa"/>
          <w:bottom w:w="0" w:type="dxa"/>
          <w:right w:w="0" w:type="dxa"/>
        </w:tblCellMar>
      </w:tblPr>
      <w:tr>
        <w:trPr>
          <w:trHeight w:val="206"/>
        </w:trPr>
        <w:tc>
          <w:tcPr>
            <w:tcW w:w="4220" w:type="dxa"/>
            <w:vAlign w:val="bottom"/>
          </w:tcPr>
          <w:p>
            <w:pPr>
              <w:jc w:val="center"/>
              <w:ind w:right="115"/>
              <w:spacing w:after="0"/>
              <w:rPr>
                <w:sz w:val="20"/>
                <w:szCs w:val="20"/>
                <w:color w:val="auto"/>
              </w:rPr>
            </w:pPr>
            <w:r>
              <w:rPr>
                <w:rFonts w:ascii="Arial" w:cs="Arial" w:eastAsia="Arial" w:hAnsi="Arial"/>
                <w:sz w:val="16"/>
                <w:szCs w:val="16"/>
                <w:color w:val="auto"/>
                <w:w w:val="92"/>
              </w:rPr>
              <w:t>Title of each class</w:t>
            </w:r>
          </w:p>
        </w:tc>
        <w:tc>
          <w:tcPr>
            <w:tcW w:w="2640" w:type="dxa"/>
            <w:vAlign w:val="bottom"/>
          </w:tcPr>
          <w:p>
            <w:pPr>
              <w:jc w:val="center"/>
              <w:ind w:right="15"/>
              <w:spacing w:after="0"/>
              <w:rPr>
                <w:sz w:val="20"/>
                <w:szCs w:val="20"/>
                <w:color w:val="auto"/>
              </w:rPr>
            </w:pPr>
            <w:r>
              <w:rPr>
                <w:rFonts w:ascii="Arial" w:cs="Arial" w:eastAsia="Arial" w:hAnsi="Arial"/>
                <w:sz w:val="16"/>
                <w:szCs w:val="16"/>
                <w:color w:val="auto"/>
                <w:w w:val="93"/>
              </w:rPr>
              <w:t>Trading Symbol(s)</w:t>
            </w:r>
          </w:p>
        </w:tc>
        <w:tc>
          <w:tcPr>
            <w:tcW w:w="4220" w:type="dxa"/>
            <w:vAlign w:val="bottom"/>
          </w:tcPr>
          <w:p>
            <w:pPr>
              <w:jc w:val="center"/>
              <w:ind w:left="35"/>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jc w:val="center"/>
              <w:ind w:right="135"/>
              <w:spacing w:after="0"/>
              <w:rPr>
                <w:sz w:val="20"/>
                <w:szCs w:val="20"/>
                <w:color w:val="auto"/>
              </w:rPr>
            </w:pPr>
            <w:r>
              <w:rPr>
                <w:rFonts w:ascii="Arial" w:cs="Arial" w:eastAsia="Arial" w:hAnsi="Arial"/>
                <w:sz w:val="18"/>
                <w:szCs w:val="18"/>
                <w:color w:val="auto"/>
                <w:w w:val="89"/>
              </w:rPr>
              <w:t>Common Stock, par value $0.001 per share</w:t>
            </w:r>
          </w:p>
        </w:tc>
        <w:tc>
          <w:tcPr>
            <w:tcW w:w="2640" w:type="dxa"/>
            <w:vAlign w:val="bottom"/>
          </w:tcPr>
          <w:p>
            <w:pPr>
              <w:jc w:val="center"/>
              <w:spacing w:after="0"/>
              <w:rPr>
                <w:sz w:val="20"/>
                <w:szCs w:val="20"/>
                <w:color w:val="auto"/>
              </w:rPr>
            </w:pPr>
            <w:r>
              <w:rPr>
                <w:rFonts w:ascii="Arial" w:cs="Arial" w:eastAsia="Arial" w:hAnsi="Arial"/>
                <w:sz w:val="18"/>
                <w:szCs w:val="18"/>
                <w:color w:val="auto"/>
                <w:w w:val="93"/>
              </w:rPr>
              <w:t>LPSN</w:t>
            </w:r>
          </w:p>
        </w:tc>
        <w:tc>
          <w:tcPr>
            <w:tcW w:w="4220" w:type="dxa"/>
            <w:vAlign w:val="bottom"/>
          </w:tcPr>
          <w:p>
            <w:pPr>
              <w:jc w:val="center"/>
              <w:ind w:left="35"/>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ind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8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5" w:lineRule="exact"/>
        <w:rPr>
          <w:sz w:val="24"/>
          <w:szCs w:val="24"/>
          <w:color w:val="auto"/>
        </w:rPr>
      </w:pPr>
    </w:p>
    <w:tbl>
      <w:tblPr>
        <w:tblLayout w:type="fixed"/>
        <w:tblInd w:w="160" w:type="dxa"/>
        <w:tblCellMar>
          <w:top w:w="0" w:type="dxa"/>
          <w:left w:w="0" w:type="dxa"/>
          <w:bottom w:w="0" w:type="dxa"/>
          <w:right w:w="0" w:type="dxa"/>
        </w:tblCellMar>
      </w:tblP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28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28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20" w:type="dxa"/>
            <w:vAlign w:val="bottom"/>
          </w:tcPr>
          <w:p>
            <w:pPr>
              <w:ind w:left="128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0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April 25, 2020, 66,198,311 shares of the registrant’s common stock were outstanding.</w:t>
      </w:r>
    </w:p>
    <w:p>
      <w:pPr>
        <w:sectPr>
          <w:pgSz w:w="11900" w:h="16838" w:orient="portrait"/>
          <w:cols w:equalWidth="0" w:num="1">
            <w:col w:w="11160"/>
          </w:cols>
          <w:pgMar w:left="320" w:top="661" w:right="419" w:bottom="1440" w:gutter="0" w:footer="0" w:header="0"/>
        </w:sectPr>
      </w:pP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160"/>
          </w:cols>
          <w:pgMar w:left="320" w:top="661"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1000" w:type="dxa"/>
            <w:vAlign w:val="bottom"/>
            <w:gridSpan w:val="3"/>
          </w:tcPr>
          <w:p>
            <w:pPr>
              <w:ind w:left="280"/>
              <w:spacing w:after="0"/>
              <w:rPr>
                <w:sz w:val="20"/>
                <w:szCs w:val="20"/>
                <w:color w:val="auto"/>
              </w:rPr>
            </w:pPr>
            <w:r>
              <w:rPr>
                <w:rFonts w:ascii="Arial" w:cs="Arial" w:eastAsia="Arial" w:hAnsi="Arial"/>
                <w:sz w:val="18"/>
                <w:szCs w:val="18"/>
                <w:color w:val="auto"/>
              </w:rPr>
              <w:t>PAGE</w:t>
            </w:r>
          </w:p>
        </w:tc>
      </w:tr>
      <w:tr>
        <w:trPr>
          <w:trHeight w:val="27"/>
        </w:trPr>
        <w:tc>
          <w:tcPr>
            <w:tcW w:w="1040" w:type="dxa"/>
            <w:vAlign w:val="bottom"/>
            <w:tcBorders>
              <w:bottom w:val="single" w:sz="8" w:color="CCFFCC"/>
            </w:tcBorders>
          </w:tcPr>
          <w:p>
            <w:pPr>
              <w:spacing w:after="0"/>
              <w:rPr>
                <w:sz w:val="2"/>
                <w:szCs w:val="2"/>
                <w:color w:val="auto"/>
              </w:rPr>
            </w:pPr>
          </w:p>
        </w:tc>
        <w:tc>
          <w:tcPr>
            <w:tcW w:w="9200" w:type="dxa"/>
            <w:vAlign w:val="bottom"/>
            <w:tcBorders>
              <w:bottom w:val="single" w:sz="8" w:color="CCFFC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3"/>
        </w:trPr>
        <w:tc>
          <w:tcPr>
            <w:tcW w:w="10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Part I.</w:t>
            </w:r>
          </w:p>
        </w:tc>
        <w:tc>
          <w:tcPr>
            <w:tcW w:w="920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Financial Information</w:t>
            </w: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270"/>
        </w:trPr>
        <w:tc>
          <w:tcPr>
            <w:tcW w:w="1040" w:type="dxa"/>
            <w:vAlign w:val="bottom"/>
          </w:tcPr>
          <w:p>
            <w:pPr>
              <w:spacing w:after="0"/>
              <w:rPr>
                <w:sz w:val="23"/>
                <w:szCs w:val="23"/>
                <w:color w:val="auto"/>
              </w:rPr>
            </w:pPr>
          </w:p>
        </w:tc>
        <w:tc>
          <w:tcPr>
            <w:tcW w:w="9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10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Item 1.</w:t>
            </w:r>
          </w:p>
        </w:tc>
        <w:tc>
          <w:tcPr>
            <w:tcW w:w="920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Financial Statements (Unaudited):</w:t>
            </w: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270"/>
        </w:trPr>
        <w:tc>
          <w:tcPr>
            <w:tcW w:w="1040" w:type="dxa"/>
            <w:vAlign w:val="bottom"/>
          </w:tcPr>
          <w:p>
            <w:pPr>
              <w:spacing w:after="0"/>
              <w:rPr>
                <w:sz w:val="23"/>
                <w:szCs w:val="23"/>
                <w:color w:val="auto"/>
              </w:rPr>
            </w:pPr>
          </w:p>
        </w:tc>
        <w:tc>
          <w:tcPr>
            <w:tcW w:w="9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1040" w:type="dxa"/>
            <w:vAlign w:val="bottom"/>
            <w:tcBorders>
              <w:bottom w:val="single" w:sz="8" w:color="CCFFCC"/>
            </w:tcBorders>
            <w:shd w:val="clear" w:color="auto" w:fill="CCFFCC"/>
          </w:tcPr>
          <w:p>
            <w:pPr>
              <w:spacing w:after="0"/>
              <w:rPr>
                <w:sz w:val="21"/>
                <w:szCs w:val="21"/>
                <w:color w:val="auto"/>
              </w:rPr>
            </w:pPr>
          </w:p>
        </w:tc>
        <w:tc>
          <w:tcPr>
            <w:tcW w:w="9200" w:type="dxa"/>
            <w:vAlign w:val="bottom"/>
            <w:tcBorders>
              <w:bottom w:val="single" w:sz="8" w:color="CCFFCC"/>
            </w:tcBorders>
            <w:shd w:val="clear" w:color="auto" w:fill="CCFFCC"/>
          </w:tcPr>
          <w:p>
            <w:pPr>
              <w:ind w:left="580"/>
              <w:spacing w:after="0"/>
              <w:rPr>
                <w:sz w:val="20"/>
                <w:szCs w:val="20"/>
                <w:color w:val="auto"/>
              </w:rPr>
            </w:pPr>
            <w:r>
              <w:rPr>
                <w:rFonts w:ascii="Arial" w:cs="Arial" w:eastAsia="Arial" w:hAnsi="Arial"/>
                <w:sz w:val="18"/>
                <w:szCs w:val="18"/>
                <w:color w:val="auto"/>
              </w:rPr>
              <w:t>Condensed Consolidated Balance Sheets as of March 31, 2020 and December 31, 2019</w:t>
            </w: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70"/>
        </w:trPr>
        <w:tc>
          <w:tcPr>
            <w:tcW w:w="1040" w:type="dxa"/>
            <w:vAlign w:val="bottom"/>
          </w:tcPr>
          <w:p>
            <w:pPr>
              <w:spacing w:after="0"/>
              <w:rPr>
                <w:sz w:val="23"/>
                <w:szCs w:val="23"/>
                <w:color w:val="auto"/>
              </w:rPr>
            </w:pPr>
          </w:p>
        </w:tc>
        <w:tc>
          <w:tcPr>
            <w:tcW w:w="9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1040" w:type="dxa"/>
            <w:vAlign w:val="bottom"/>
            <w:tcBorders>
              <w:bottom w:val="single" w:sz="8" w:color="CCFFCC"/>
            </w:tcBorders>
            <w:shd w:val="clear" w:color="auto" w:fill="CCFFCC"/>
          </w:tcPr>
          <w:p>
            <w:pPr>
              <w:spacing w:after="0"/>
              <w:rPr>
                <w:sz w:val="21"/>
                <w:szCs w:val="21"/>
                <w:color w:val="auto"/>
              </w:rPr>
            </w:pPr>
          </w:p>
        </w:tc>
        <w:tc>
          <w:tcPr>
            <w:tcW w:w="9200" w:type="dxa"/>
            <w:vAlign w:val="bottom"/>
            <w:tcBorders>
              <w:bottom w:val="single" w:sz="8" w:color="CCFFCC"/>
            </w:tcBorders>
            <w:shd w:val="clear" w:color="auto" w:fill="CCFFCC"/>
          </w:tcPr>
          <w:p>
            <w:pPr>
              <w:ind w:left="580"/>
              <w:spacing w:after="0"/>
              <w:rPr>
                <w:sz w:val="20"/>
                <w:szCs w:val="20"/>
                <w:color w:val="auto"/>
              </w:rPr>
            </w:pPr>
            <w:r>
              <w:rPr>
                <w:rFonts w:ascii="Arial" w:cs="Arial" w:eastAsia="Arial" w:hAnsi="Arial"/>
                <w:sz w:val="18"/>
                <w:szCs w:val="18"/>
                <w:color w:val="auto"/>
              </w:rPr>
              <w:t>Condensed Consolidated Statements of Operations for the Three Months Ended March 31, 2020 and 2019</w:t>
            </w: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r>
      <w:tr>
        <w:trPr>
          <w:trHeight w:val="270"/>
        </w:trPr>
        <w:tc>
          <w:tcPr>
            <w:tcW w:w="1040" w:type="dxa"/>
            <w:vAlign w:val="bottom"/>
          </w:tcPr>
          <w:p>
            <w:pPr>
              <w:spacing w:after="0"/>
              <w:rPr>
                <w:sz w:val="23"/>
                <w:szCs w:val="23"/>
                <w:color w:val="auto"/>
              </w:rPr>
            </w:pPr>
          </w:p>
        </w:tc>
        <w:tc>
          <w:tcPr>
            <w:tcW w:w="9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1040" w:type="dxa"/>
            <w:vAlign w:val="bottom"/>
            <w:tcBorders>
              <w:bottom w:val="single" w:sz="8" w:color="CCFFCC"/>
            </w:tcBorders>
            <w:shd w:val="clear" w:color="auto" w:fill="CCFFCC"/>
          </w:tcPr>
          <w:p>
            <w:pPr>
              <w:spacing w:after="0"/>
              <w:rPr>
                <w:sz w:val="21"/>
                <w:szCs w:val="21"/>
                <w:color w:val="auto"/>
              </w:rPr>
            </w:pPr>
          </w:p>
        </w:tc>
        <w:tc>
          <w:tcPr>
            <w:tcW w:w="9200" w:type="dxa"/>
            <w:vAlign w:val="bottom"/>
            <w:tcBorders>
              <w:bottom w:val="single" w:sz="8" w:color="CCFFCC"/>
            </w:tcBorders>
            <w:shd w:val="clear" w:color="auto" w:fill="CCFFCC"/>
          </w:tcPr>
          <w:p>
            <w:pPr>
              <w:ind w:left="580"/>
              <w:spacing w:after="0"/>
              <w:rPr>
                <w:sz w:val="20"/>
                <w:szCs w:val="20"/>
                <w:color w:val="auto"/>
              </w:rPr>
            </w:pPr>
            <w:r>
              <w:rPr>
                <w:rFonts w:ascii="Arial" w:cs="Arial" w:eastAsia="Arial" w:hAnsi="Arial"/>
                <w:sz w:val="18"/>
                <w:szCs w:val="18"/>
                <w:color w:val="auto"/>
                <w:w w:val="92"/>
              </w:rPr>
              <w:t>Condensed Consolidated Statements of Comprehensive Loss for the Three Months Ended March 31, 2020 and 2019</w:t>
            </w: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tc>
      </w:tr>
      <w:tr>
        <w:trPr>
          <w:trHeight w:val="270"/>
        </w:trPr>
        <w:tc>
          <w:tcPr>
            <w:tcW w:w="1040" w:type="dxa"/>
            <w:vAlign w:val="bottom"/>
          </w:tcPr>
          <w:p>
            <w:pPr>
              <w:spacing w:after="0"/>
              <w:rPr>
                <w:sz w:val="23"/>
                <w:szCs w:val="23"/>
                <w:color w:val="auto"/>
              </w:rPr>
            </w:pPr>
          </w:p>
        </w:tc>
        <w:tc>
          <w:tcPr>
            <w:tcW w:w="9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200" w:type="dxa"/>
            <w:vAlign w:val="bottom"/>
            <w:shd w:val="clear" w:color="auto" w:fill="CCFFCC"/>
          </w:tcPr>
          <w:p>
            <w:pPr>
              <w:ind w:left="580"/>
              <w:spacing w:after="0" w:line="202" w:lineRule="exact"/>
              <w:rPr>
                <w:sz w:val="20"/>
                <w:szCs w:val="20"/>
                <w:color w:val="auto"/>
              </w:rPr>
            </w:pPr>
            <w:r>
              <w:rPr>
                <w:rFonts w:ascii="Arial" w:cs="Arial" w:eastAsia="Arial" w:hAnsi="Arial"/>
                <w:sz w:val="18"/>
                <w:szCs w:val="18"/>
                <w:color w:val="auto"/>
                <w:w w:val="92"/>
              </w:rPr>
              <w:t>Condensed Consolidated Statements of Stockholders' Equity for the Three Months Ended March 31, 2020 and 2019</w:t>
            </w:r>
          </w:p>
        </w:tc>
        <w:tc>
          <w:tcPr>
            <w:tcW w:w="1000" w:type="dxa"/>
            <w:vAlign w:val="bottom"/>
            <w:gridSpan w:val="3"/>
            <w:shd w:val="clear" w:color="auto" w:fill="CCFFCC"/>
          </w:tcPr>
          <w:p>
            <w:pPr>
              <w:jc w:val="right"/>
              <w:ind w:right="100"/>
              <w:spacing w:after="0" w:line="202" w:lineRule="exact"/>
              <w:rPr>
                <w:sz w:val="20"/>
                <w:szCs w:val="20"/>
                <w:color w:val="auto"/>
              </w:rPr>
            </w:pPr>
            <w:r>
              <w:rPr>
                <w:rFonts w:ascii="Arial" w:cs="Arial" w:eastAsia="Arial" w:hAnsi="Arial"/>
                <w:sz w:val="18"/>
                <w:szCs w:val="18"/>
                <w:color w:val="0000FF"/>
              </w:rPr>
              <w:t>7</w:t>
            </w:r>
          </w:p>
        </w:tc>
      </w:tr>
      <w:tr>
        <w:trPr>
          <w:trHeight w:val="270"/>
        </w:trPr>
        <w:tc>
          <w:tcPr>
            <w:tcW w:w="1040" w:type="dxa"/>
            <w:vAlign w:val="bottom"/>
            <w:tcBorders>
              <w:top w:val="single" w:sz="8" w:color="CCFFCC"/>
            </w:tcBorders>
          </w:tcPr>
          <w:p>
            <w:pPr>
              <w:spacing w:after="0"/>
              <w:rPr>
                <w:sz w:val="23"/>
                <w:szCs w:val="23"/>
                <w:color w:val="auto"/>
              </w:rPr>
            </w:pPr>
          </w:p>
        </w:tc>
        <w:tc>
          <w:tcPr>
            <w:tcW w:w="9200" w:type="dxa"/>
            <w:vAlign w:val="bottom"/>
            <w:tcBorders>
              <w:top w:val="single" w:sz="8" w:color="CCFFCC"/>
            </w:tcBorders>
          </w:tcPr>
          <w:p>
            <w:pPr>
              <w:spacing w:after="0"/>
              <w:rPr>
                <w:sz w:val="23"/>
                <w:szCs w:val="23"/>
                <w:color w:val="auto"/>
              </w:rPr>
            </w:pPr>
          </w:p>
        </w:tc>
        <w:tc>
          <w:tcPr>
            <w:tcW w:w="80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tcBorders>
              <w:bottom w:val="single" w:sz="8" w:color="CCFFCC"/>
            </w:tcBorders>
            <w:shd w:val="clear" w:color="auto" w:fill="CCFFCC"/>
          </w:tcPr>
          <w:p>
            <w:pPr>
              <w:spacing w:after="0"/>
              <w:rPr>
                <w:sz w:val="21"/>
                <w:szCs w:val="21"/>
                <w:color w:val="auto"/>
              </w:rPr>
            </w:pPr>
          </w:p>
        </w:tc>
        <w:tc>
          <w:tcPr>
            <w:tcW w:w="9200" w:type="dxa"/>
            <w:vAlign w:val="bottom"/>
            <w:tcBorders>
              <w:bottom w:val="single" w:sz="8" w:color="CCFFCC"/>
            </w:tcBorders>
            <w:shd w:val="clear" w:color="auto" w:fill="CCFFCC"/>
          </w:tcPr>
          <w:p>
            <w:pPr>
              <w:ind w:left="580"/>
              <w:spacing w:after="0"/>
              <w:rPr>
                <w:sz w:val="20"/>
                <w:szCs w:val="20"/>
                <w:color w:val="auto"/>
              </w:rPr>
            </w:pPr>
            <w:r>
              <w:rPr>
                <w:rFonts w:ascii="Arial" w:cs="Arial" w:eastAsia="Arial" w:hAnsi="Arial"/>
                <w:sz w:val="18"/>
                <w:szCs w:val="18"/>
                <w:color w:val="auto"/>
              </w:rPr>
              <w:t>Condensed Consolidated Statements of Cash Flows for the Three Months Ended March 31, 2020 and 2019</w:t>
            </w: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11</w:t>
              </w:r>
            </w:hyperlink>
          </w:p>
        </w:tc>
      </w:tr>
      <w:tr>
        <w:trPr>
          <w:trHeight w:val="324"/>
        </w:trPr>
        <w:tc>
          <w:tcPr>
            <w:tcW w:w="104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040" w:type="dxa"/>
            <w:vAlign w:val="bottom"/>
            <w:tcBorders>
              <w:bottom w:val="single" w:sz="8" w:color="CCFFCC"/>
            </w:tcBorders>
            <w:shd w:val="clear" w:color="auto" w:fill="CCFFCC"/>
          </w:tcPr>
          <w:p>
            <w:pPr>
              <w:spacing w:after="0"/>
              <w:rPr>
                <w:sz w:val="21"/>
                <w:szCs w:val="21"/>
                <w:color w:val="auto"/>
              </w:rPr>
            </w:pPr>
          </w:p>
        </w:tc>
        <w:tc>
          <w:tcPr>
            <w:tcW w:w="9200" w:type="dxa"/>
            <w:vAlign w:val="bottom"/>
            <w:tcBorders>
              <w:bottom w:val="single" w:sz="8" w:color="CCFFCC"/>
            </w:tcBorders>
            <w:shd w:val="clear" w:color="auto" w:fill="CCFFCC"/>
          </w:tcPr>
          <w:p>
            <w:pPr>
              <w:ind w:left="580"/>
              <w:spacing w:after="0"/>
              <w:rPr>
                <w:sz w:val="20"/>
                <w:szCs w:val="20"/>
                <w:color w:val="auto"/>
              </w:rPr>
            </w:pPr>
            <w:r>
              <w:rPr>
                <w:rFonts w:ascii="Arial" w:cs="Arial" w:eastAsia="Arial" w:hAnsi="Arial"/>
                <w:sz w:val="18"/>
                <w:szCs w:val="18"/>
                <w:color w:val="auto"/>
              </w:rPr>
              <w:t>Notes to Condensed Consolidated Financial Statements</w:t>
            </w: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13</w:t>
              </w:r>
            </w:hyperlink>
          </w:p>
        </w:tc>
      </w:tr>
      <w:tr>
        <w:trPr>
          <w:trHeight w:val="270"/>
        </w:trPr>
        <w:tc>
          <w:tcPr>
            <w:tcW w:w="1040" w:type="dxa"/>
            <w:vAlign w:val="bottom"/>
          </w:tcPr>
          <w:p>
            <w:pPr>
              <w:spacing w:after="0"/>
              <w:rPr>
                <w:sz w:val="23"/>
                <w:szCs w:val="23"/>
                <w:color w:val="auto"/>
              </w:rPr>
            </w:pPr>
          </w:p>
        </w:tc>
        <w:tc>
          <w:tcPr>
            <w:tcW w:w="9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10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Item 2.</w:t>
            </w:r>
          </w:p>
        </w:tc>
        <w:tc>
          <w:tcPr>
            <w:tcW w:w="920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r>
      <w:tr>
        <w:trPr>
          <w:trHeight w:val="270"/>
        </w:trPr>
        <w:tc>
          <w:tcPr>
            <w:tcW w:w="1040" w:type="dxa"/>
            <w:vAlign w:val="bottom"/>
          </w:tcPr>
          <w:p>
            <w:pPr>
              <w:spacing w:after="0"/>
              <w:rPr>
                <w:sz w:val="23"/>
                <w:szCs w:val="23"/>
                <w:color w:val="auto"/>
              </w:rPr>
            </w:pPr>
          </w:p>
        </w:tc>
        <w:tc>
          <w:tcPr>
            <w:tcW w:w="9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10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Item 3.</w:t>
            </w:r>
          </w:p>
        </w:tc>
        <w:tc>
          <w:tcPr>
            <w:tcW w:w="920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Quantitative and Qualitative Disclosures about Market Risk</w:t>
            </w: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52</w:t>
              </w:r>
            </w:hyperlink>
          </w:p>
        </w:tc>
      </w:tr>
      <w:tr>
        <w:trPr>
          <w:trHeight w:val="270"/>
        </w:trPr>
        <w:tc>
          <w:tcPr>
            <w:tcW w:w="1040" w:type="dxa"/>
            <w:vAlign w:val="bottom"/>
          </w:tcPr>
          <w:p>
            <w:pPr>
              <w:spacing w:after="0"/>
              <w:rPr>
                <w:sz w:val="23"/>
                <w:szCs w:val="23"/>
                <w:color w:val="auto"/>
              </w:rPr>
            </w:pPr>
          </w:p>
        </w:tc>
        <w:tc>
          <w:tcPr>
            <w:tcW w:w="9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10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Item 4.</w:t>
            </w:r>
          </w:p>
        </w:tc>
        <w:tc>
          <w:tcPr>
            <w:tcW w:w="920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Controls and Procedures</w:t>
            </w: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r>
      <w:tr>
        <w:trPr>
          <w:trHeight w:val="270"/>
        </w:trPr>
        <w:tc>
          <w:tcPr>
            <w:tcW w:w="1040" w:type="dxa"/>
            <w:vAlign w:val="bottom"/>
          </w:tcPr>
          <w:p>
            <w:pPr>
              <w:spacing w:after="0"/>
              <w:rPr>
                <w:sz w:val="23"/>
                <w:szCs w:val="23"/>
                <w:color w:val="auto"/>
              </w:rPr>
            </w:pPr>
          </w:p>
        </w:tc>
        <w:tc>
          <w:tcPr>
            <w:tcW w:w="9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10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Part II.</w:t>
            </w:r>
          </w:p>
        </w:tc>
        <w:tc>
          <w:tcPr>
            <w:tcW w:w="920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Other Information</w:t>
            </w: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r>
      <w:tr>
        <w:trPr>
          <w:trHeight w:val="270"/>
        </w:trPr>
        <w:tc>
          <w:tcPr>
            <w:tcW w:w="1040" w:type="dxa"/>
            <w:vAlign w:val="bottom"/>
          </w:tcPr>
          <w:p>
            <w:pPr>
              <w:spacing w:after="0"/>
              <w:rPr>
                <w:sz w:val="23"/>
                <w:szCs w:val="23"/>
                <w:color w:val="auto"/>
              </w:rPr>
            </w:pPr>
          </w:p>
        </w:tc>
        <w:tc>
          <w:tcPr>
            <w:tcW w:w="9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10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Item 1.</w:t>
            </w:r>
          </w:p>
        </w:tc>
        <w:tc>
          <w:tcPr>
            <w:tcW w:w="920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Legal Proceedings</w:t>
            </w: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r>
      <w:tr>
        <w:trPr>
          <w:trHeight w:val="270"/>
        </w:trPr>
        <w:tc>
          <w:tcPr>
            <w:tcW w:w="1040" w:type="dxa"/>
            <w:vAlign w:val="bottom"/>
          </w:tcPr>
          <w:p>
            <w:pPr>
              <w:spacing w:after="0"/>
              <w:rPr>
                <w:sz w:val="23"/>
                <w:szCs w:val="23"/>
                <w:color w:val="auto"/>
              </w:rPr>
            </w:pPr>
          </w:p>
        </w:tc>
        <w:tc>
          <w:tcPr>
            <w:tcW w:w="9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10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Item 1A.</w:t>
            </w:r>
          </w:p>
        </w:tc>
        <w:tc>
          <w:tcPr>
            <w:tcW w:w="920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Risk Factors</w:t>
            </w: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r>
      <w:tr>
        <w:trPr>
          <w:trHeight w:val="270"/>
        </w:trPr>
        <w:tc>
          <w:tcPr>
            <w:tcW w:w="1040" w:type="dxa"/>
            <w:vAlign w:val="bottom"/>
          </w:tcPr>
          <w:p>
            <w:pPr>
              <w:spacing w:after="0"/>
              <w:rPr>
                <w:sz w:val="23"/>
                <w:szCs w:val="23"/>
                <w:color w:val="auto"/>
              </w:rPr>
            </w:pPr>
          </w:p>
        </w:tc>
        <w:tc>
          <w:tcPr>
            <w:tcW w:w="9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10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Item 2.</w:t>
            </w:r>
          </w:p>
        </w:tc>
        <w:tc>
          <w:tcPr>
            <w:tcW w:w="920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Unregistered Sales of Equity Securities and Use of Proceeds</w:t>
            </w: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r>
      <w:tr>
        <w:trPr>
          <w:trHeight w:val="270"/>
        </w:trPr>
        <w:tc>
          <w:tcPr>
            <w:tcW w:w="1040" w:type="dxa"/>
            <w:vAlign w:val="bottom"/>
          </w:tcPr>
          <w:p>
            <w:pPr>
              <w:spacing w:after="0"/>
              <w:rPr>
                <w:sz w:val="23"/>
                <w:szCs w:val="23"/>
                <w:color w:val="auto"/>
              </w:rPr>
            </w:pPr>
          </w:p>
        </w:tc>
        <w:tc>
          <w:tcPr>
            <w:tcW w:w="9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10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Item 3.</w:t>
            </w:r>
          </w:p>
        </w:tc>
        <w:tc>
          <w:tcPr>
            <w:tcW w:w="920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Defaults Upon Senior Securities</w:t>
            </w: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r>
      <w:tr>
        <w:trPr>
          <w:trHeight w:val="270"/>
        </w:trPr>
        <w:tc>
          <w:tcPr>
            <w:tcW w:w="1040" w:type="dxa"/>
            <w:vAlign w:val="bottom"/>
          </w:tcPr>
          <w:p>
            <w:pPr>
              <w:spacing w:after="0"/>
              <w:rPr>
                <w:sz w:val="23"/>
                <w:szCs w:val="23"/>
                <w:color w:val="auto"/>
              </w:rPr>
            </w:pPr>
          </w:p>
        </w:tc>
        <w:tc>
          <w:tcPr>
            <w:tcW w:w="9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10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Item 4.</w:t>
            </w:r>
          </w:p>
        </w:tc>
        <w:tc>
          <w:tcPr>
            <w:tcW w:w="920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Mine Safety Disclosures</w:t>
            </w: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r>
      <w:tr>
        <w:trPr>
          <w:trHeight w:val="270"/>
        </w:trPr>
        <w:tc>
          <w:tcPr>
            <w:tcW w:w="1040" w:type="dxa"/>
            <w:vAlign w:val="bottom"/>
          </w:tcPr>
          <w:p>
            <w:pPr>
              <w:spacing w:after="0"/>
              <w:rPr>
                <w:sz w:val="23"/>
                <w:szCs w:val="23"/>
                <w:color w:val="auto"/>
              </w:rPr>
            </w:pPr>
          </w:p>
        </w:tc>
        <w:tc>
          <w:tcPr>
            <w:tcW w:w="9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10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Item 5.</w:t>
            </w:r>
          </w:p>
        </w:tc>
        <w:tc>
          <w:tcPr>
            <w:tcW w:w="920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Other Information</w:t>
            </w: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56</w:t>
              </w:r>
            </w:hyperlink>
          </w:p>
        </w:tc>
      </w:tr>
      <w:tr>
        <w:trPr>
          <w:trHeight w:val="270"/>
        </w:trPr>
        <w:tc>
          <w:tcPr>
            <w:tcW w:w="1040" w:type="dxa"/>
            <w:vAlign w:val="bottom"/>
          </w:tcPr>
          <w:p>
            <w:pPr>
              <w:spacing w:after="0"/>
              <w:rPr>
                <w:sz w:val="23"/>
                <w:szCs w:val="23"/>
                <w:color w:val="auto"/>
              </w:rPr>
            </w:pPr>
          </w:p>
        </w:tc>
        <w:tc>
          <w:tcPr>
            <w:tcW w:w="9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10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Item 6.</w:t>
            </w:r>
          </w:p>
        </w:tc>
        <w:tc>
          <w:tcPr>
            <w:tcW w:w="920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Exhibits</w:t>
            </w: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r>
      <w:tr>
        <w:trPr>
          <w:trHeight w:val="324"/>
        </w:trPr>
        <w:tc>
          <w:tcPr>
            <w:tcW w:w="104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0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Signatures</w:t>
            </w:r>
          </w:p>
        </w:tc>
        <w:tc>
          <w:tcPr>
            <w:tcW w:w="92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gridSpan w:val="3"/>
            <w:shd w:val="clear" w:color="auto" w:fill="CCFFCC"/>
          </w:tcPr>
          <w:p>
            <w:pPr>
              <w:jc w:val="right"/>
              <w:ind w:right="10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58</w:t>
              </w:r>
            </w:hyperlink>
          </w:p>
        </w:tc>
      </w:tr>
      <w:tr>
        <w:trPr>
          <w:trHeight w:val="432"/>
        </w:trPr>
        <w:tc>
          <w:tcPr>
            <w:tcW w:w="1040" w:type="dxa"/>
            <w:vAlign w:val="bottom"/>
          </w:tcPr>
          <w:p>
            <w:pPr>
              <w:spacing w:after="0"/>
              <w:rPr>
                <w:sz w:val="24"/>
                <w:szCs w:val="24"/>
                <w:color w:val="auto"/>
              </w:rPr>
            </w:pPr>
          </w:p>
        </w:tc>
        <w:tc>
          <w:tcPr>
            <w:tcW w:w="9200" w:type="dxa"/>
            <w:vAlign w:val="bottom"/>
          </w:tcPr>
          <w:p>
            <w:pPr>
              <w:ind w:left="4540"/>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74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STATEMENTS IN THIS QUARTERLY REPORT ON FORM 10-Q ABOUT LIVEPERSON, INC. (“LIVEPERSON”)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ANY SUCH FORWARD-LOOKING STATEMENTS ARE MADE PURSUANT TO THE SAFE HARBOR PROVISIONS OF THE PRIVATE SECURITIES LITIGATION REFORM ACT OF 1995.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ACTUAL EVENTS OR RESULTS MAY DIFFER MATERIALLY FROM THOSE CONTAINED IN THE PROJECTIONS OR FORWARD-LOOKING STATEMENTS. FACTORS THAT COULD CAUSE OR CONTRIBUTE TO SUCH DIFFERENCES INCLUDE THOSE DISCUSSED IN PART II, ITEM 1A, “RISK FACTORS.”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3" w:right="339" w:bottom="1440" w:gutter="0" w:footer="0" w:header="0"/>
        </w:sectPr>
      </w:pPr>
    </w:p>
    <w:bookmarkStart w:id="3" w:name="page4"/>
    <w:bookmarkEnd w:id="3"/>
    <w:p>
      <w:pPr>
        <w:jc w:val="right"/>
        <w:ind w:right="3479"/>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39"/>
          </w:cols>
          <w:pgMar w:left="320" w:top="557" w:right="1440" w:bottom="1440" w:gutter="0" w:footer="0" w:header="0"/>
        </w:sectPr>
      </w:pPr>
    </w:p>
    <w:bookmarkStart w:id="4" w:name="page5"/>
    <w:bookmarkEnd w:id="4"/>
    <w:p>
      <w:pPr>
        <w:ind w:left="48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2019</w:t>
            </w:r>
          </w:p>
        </w:tc>
      </w:tr>
      <w:tr>
        <w:trPr>
          <w:trHeight w:val="264"/>
        </w:trPr>
        <w:tc>
          <w:tcPr>
            <w:tcW w:w="8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center"/>
              <w:ind w:right="120"/>
              <w:spacing w:after="0"/>
              <w:rPr>
                <w:sz w:val="20"/>
                <w:szCs w:val="20"/>
                <w:color w:val="auto"/>
              </w:rPr>
            </w:pPr>
            <w:r>
              <w:rPr>
                <w:rFonts w:ascii="Arial" w:cs="Arial" w:eastAsia="Arial" w:hAnsi="Arial"/>
                <w:sz w:val="14"/>
                <w:szCs w:val="14"/>
                <w:b w:val="1"/>
                <w:bCs w:val="1"/>
                <w:color w:val="auto"/>
                <w:w w:val="92"/>
              </w:rPr>
              <w:t>(Note 1)</w:t>
            </w:r>
          </w:p>
        </w:tc>
      </w:tr>
      <w:tr>
        <w:trPr>
          <w:trHeight w:val="256"/>
        </w:trPr>
        <w:tc>
          <w:tcPr>
            <w:tcW w:w="8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CCFFCC"/>
            </w:tcBorders>
            <w:shd w:val="clear" w:color="auto" w:fill="CCFFCC"/>
          </w:tcPr>
          <w:p>
            <w:pPr>
              <w:spacing w:after="0"/>
              <w:rPr>
                <w:sz w:val="22"/>
                <w:szCs w:val="22"/>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171,479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176,523</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w w:val="93"/>
              </w:rPr>
              <w:t>Accounts receivable, net of allowances of $6,742 and $4,226 as of March 31, 2020 and December 31, 2019, respectively</w:t>
            </w: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61,082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87,620</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15,722</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13,964</w:t>
            </w:r>
          </w:p>
        </w:tc>
      </w:tr>
      <w:tr>
        <w:trPr>
          <w:trHeight w:val="217"/>
        </w:trPr>
        <w:tc>
          <w:tcPr>
            <w:tcW w:w="822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248,283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278,107</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Operating lease right of use asset</w:t>
            </w:r>
          </w:p>
        </w:tc>
        <w:tc>
          <w:tcPr>
            <w:tcW w:w="2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14,800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15,680</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82,816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76,236</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Contract acquisition costs</w:t>
            </w:r>
          </w:p>
        </w:tc>
        <w:tc>
          <w:tcPr>
            <w:tcW w:w="2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33,607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31,965</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Intangibles, net</w:t>
            </w: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11,339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11,812</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94,945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94,987</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2,179</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1,735</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1,744</w:t>
            </w:r>
          </w:p>
        </w:tc>
      </w:tr>
      <w:tr>
        <w:trPr>
          <w:trHeight w:val="283"/>
        </w:trPr>
        <w:tc>
          <w:tcPr>
            <w:tcW w:w="822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489,459</w:t>
            </w:r>
          </w:p>
        </w:tc>
        <w:tc>
          <w:tcPr>
            <w:tcW w:w="120" w:type="dxa"/>
            <w:vAlign w:val="bottom"/>
            <w:tcBorders>
              <w:bottom w:val="single" w:sz="8" w:color="CCFFCC"/>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512,710</w:t>
            </w:r>
          </w:p>
        </w:tc>
      </w:tr>
      <w:tr>
        <w:trPr>
          <w:trHeight w:val="311"/>
        </w:trPr>
        <w:tc>
          <w:tcPr>
            <w:tcW w:w="822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12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240" w:type="dxa"/>
            <w:vAlign w:val="bottom"/>
            <w:shd w:val="clear" w:color="auto" w:fill="CCFFCC"/>
          </w:tcPr>
          <w:p>
            <w:pPr>
              <w:spacing w:after="0"/>
              <w:rPr>
                <w:sz w:val="24"/>
                <w:szCs w:val="24"/>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spacing w:after="0"/>
              <w:rPr>
                <w:sz w:val="21"/>
                <w:szCs w:val="2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10,652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12,302</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44,629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62,778</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85,874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88,751</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Operating lease liability</w:t>
            </w:r>
          </w:p>
        </w:tc>
        <w:tc>
          <w:tcPr>
            <w:tcW w:w="26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6,561</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6,602</w:t>
            </w:r>
          </w:p>
        </w:tc>
      </w:tr>
      <w:tr>
        <w:trPr>
          <w:trHeight w:val="217"/>
        </w:trPr>
        <w:tc>
          <w:tcPr>
            <w:tcW w:w="822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147,716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170,433</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revenue, net of current portion</w:t>
            </w:r>
          </w:p>
        </w:tc>
        <w:tc>
          <w:tcPr>
            <w:tcW w:w="2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438</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Convertible senior notes, net</w:t>
            </w: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181,678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179,012</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72</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Operating lease liability, net of current portion</w:t>
            </w: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12,251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12,865</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tax liability</w:t>
            </w:r>
          </w:p>
        </w:tc>
        <w:tc>
          <w:tcPr>
            <w:tcW w:w="26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1,322</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1,355</w:t>
            </w:r>
          </w:p>
        </w:tc>
      </w:tr>
      <w:tr>
        <w:trPr>
          <w:trHeight w:val="217"/>
        </w:trPr>
        <w:tc>
          <w:tcPr>
            <w:tcW w:w="822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343,073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364,175</w:t>
            </w:r>
          </w:p>
        </w:tc>
      </w:tr>
      <w:tr>
        <w:trPr>
          <w:trHeight w:val="33"/>
        </w:trPr>
        <w:tc>
          <w:tcPr>
            <w:tcW w:w="82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18"/>
        </w:trPr>
        <w:tc>
          <w:tcPr>
            <w:tcW w:w="822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12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240" w:type="dxa"/>
            <w:vAlign w:val="bottom"/>
            <w:shd w:val="clear" w:color="auto" w:fill="CCFFCC"/>
          </w:tcPr>
          <w:p>
            <w:pPr>
              <w:spacing w:after="0"/>
              <w:rPr>
                <w:sz w:val="24"/>
                <w:szCs w:val="24"/>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Commitments and contingencies (Note 11)</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spacing w:after="0"/>
              <w:rPr>
                <w:sz w:val="21"/>
                <w:szCs w:val="2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Preferred stock, $0.001 par value - 5,000,000 shares authorized, none issued</w:t>
            </w:r>
          </w:p>
        </w:tc>
        <w:tc>
          <w:tcPr>
            <w:tcW w:w="2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0"/>
        </w:trPr>
        <w:tc>
          <w:tcPr>
            <w:tcW w:w="8220" w:type="dxa"/>
            <w:vAlign w:val="bottom"/>
            <w:shd w:val="clear" w:color="auto" w:fill="CCFFCC"/>
          </w:tcPr>
          <w:p>
            <w:pPr>
              <w:ind w:left="180"/>
              <w:spacing w:after="0"/>
              <w:rPr>
                <w:sz w:val="20"/>
                <w:szCs w:val="20"/>
                <w:color w:val="auto"/>
              </w:rPr>
            </w:pPr>
            <w:r>
              <w:rPr>
                <w:rFonts w:ascii="Arial" w:cs="Arial" w:eastAsia="Arial" w:hAnsi="Arial"/>
                <w:sz w:val="16"/>
                <w:szCs w:val="16"/>
                <w:color w:val="auto"/>
                <w:w w:val="92"/>
              </w:rPr>
              <w:t>Common stock, $0.001 par value - 200,000,000 shares authorized, 68,000,209 and 66,543,073 shares issued, 65,290,379</w:t>
            </w:r>
          </w:p>
        </w:tc>
        <w:tc>
          <w:tcPr>
            <w:tcW w:w="260" w:type="dxa"/>
            <w:vAlign w:val="bottom"/>
            <w:shd w:val="clear" w:color="auto" w:fill="CCFFCC"/>
          </w:tcPr>
          <w:p>
            <w:pPr>
              <w:spacing w:after="0"/>
              <w:rPr>
                <w:sz w:val="19"/>
                <w:szCs w:val="19"/>
                <w:color w:val="auto"/>
              </w:rPr>
            </w:pPr>
          </w:p>
        </w:tc>
        <w:tc>
          <w:tcPr>
            <w:tcW w:w="12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40" w:type="dxa"/>
            <w:vAlign w:val="bottom"/>
            <w:shd w:val="clear" w:color="auto" w:fill="CCFFCC"/>
          </w:tcPr>
          <w:p>
            <w:pPr>
              <w:spacing w:after="0"/>
              <w:rPr>
                <w:sz w:val="19"/>
                <w:szCs w:val="19"/>
                <w:color w:val="auto"/>
              </w:rPr>
            </w:pPr>
          </w:p>
        </w:tc>
      </w:tr>
      <w:tr>
        <w:trPr>
          <w:trHeight w:val="219"/>
        </w:trPr>
        <w:tc>
          <w:tcPr>
            <w:tcW w:w="82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and 63,833,243 shares outstanding as of March 31, 2020 and December 31, 2019, respectively</w:t>
            </w:r>
          </w:p>
        </w:tc>
        <w:tc>
          <w:tcPr>
            <w:tcW w:w="260" w:type="dxa"/>
            <w:vAlign w:val="bottom"/>
            <w:tcBorders>
              <w:bottom w:val="single" w:sz="8" w:color="CCFFCC"/>
            </w:tcBorders>
            <w:shd w:val="clear" w:color="auto" w:fill="CCFFCC"/>
          </w:tcPr>
          <w:p>
            <w:pPr>
              <w:spacing w:after="0"/>
              <w:rPr>
                <w:sz w:val="19"/>
                <w:szCs w:val="19"/>
                <w:color w:val="auto"/>
              </w:rPr>
            </w:pPr>
          </w:p>
        </w:tc>
        <w:tc>
          <w:tcPr>
            <w:tcW w:w="12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67</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474,606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436,557</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Treasury stock</w:t>
            </w:r>
          </w:p>
        </w:tc>
        <w:tc>
          <w:tcPr>
            <w:tcW w:w="2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(321,292)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(283,562)</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(6,993)</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(4,524)</w:t>
            </w:r>
          </w:p>
        </w:tc>
      </w:tr>
      <w:tr>
        <w:trPr>
          <w:trHeight w:val="217"/>
        </w:trPr>
        <w:tc>
          <w:tcPr>
            <w:tcW w:w="8220" w:type="dxa"/>
            <w:vAlign w:val="bottom"/>
          </w:tcPr>
          <w:p>
            <w:pPr>
              <w:ind w:left="2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146,386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148,535</w:t>
            </w:r>
          </w:p>
        </w:tc>
      </w:tr>
      <w:tr>
        <w:trPr>
          <w:trHeight w:val="33"/>
        </w:trPr>
        <w:tc>
          <w:tcPr>
            <w:tcW w:w="82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489,459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512,710</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240"/>
          </w:cols>
          <w:pgMar w:left="320" w:top="742"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742"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4"/>
          </w:tcPr>
          <w:p>
            <w:pPr>
              <w:jc w:val="center"/>
              <w:ind w:right="102"/>
              <w:spacing w:after="0"/>
              <w:rPr>
                <w:sz w:val="20"/>
                <w:szCs w:val="20"/>
                <w:color w:val="auto"/>
              </w:rPr>
            </w:pPr>
            <w:r>
              <w:rPr>
                <w:rFonts w:ascii="Arial" w:cs="Arial" w:eastAsia="Arial" w:hAnsi="Arial"/>
                <w:sz w:val="14"/>
                <w:szCs w:val="14"/>
                <w:b w:val="1"/>
                <w:bCs w:val="1"/>
                <w:color w:val="auto"/>
                <w:w w:val="95"/>
              </w:rPr>
              <w:t>Three Months Ended</w:t>
            </w:r>
          </w:p>
        </w:tc>
      </w:tr>
      <w:tr>
        <w:trPr>
          <w:trHeight w:val="276"/>
        </w:trPr>
        <w:tc>
          <w:tcPr>
            <w:tcW w:w="8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center"/>
              <w:ind w:left="583"/>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24"/>
                <w:szCs w:val="24"/>
                <w:color w:val="auto"/>
              </w:rPr>
            </w:pPr>
          </w:p>
        </w:tc>
      </w:tr>
      <w:tr>
        <w:trPr>
          <w:trHeight w:val="264"/>
        </w:trPr>
        <w:tc>
          <w:tcPr>
            <w:tcW w:w="8320" w:type="dxa"/>
            <w:vAlign w:val="bottom"/>
            <w:tcBorders>
              <w:bottom w:val="single" w:sz="8" w:color="CCFFCC"/>
            </w:tcBorders>
          </w:tcPr>
          <w:p>
            <w:pPr>
              <w:spacing w:after="0"/>
              <w:rPr>
                <w:sz w:val="22"/>
                <w:szCs w:val="22"/>
                <w:color w:val="auto"/>
              </w:rPr>
            </w:pPr>
          </w:p>
        </w:tc>
        <w:tc>
          <w:tcPr>
            <w:tcW w:w="560" w:type="dxa"/>
            <w:vAlign w:val="bottom"/>
            <w:tcBorders>
              <w:bottom w:val="single" w:sz="8" w:color="CCFFC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FFC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r>
      <w:tr>
        <w:trPr>
          <w:trHeight w:val="256"/>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760" w:type="dxa"/>
            <w:vAlign w:val="bottom"/>
            <w:tcBorders>
              <w:bottom w:val="single" w:sz="8" w:color="CCFFCC"/>
            </w:tcBorders>
            <w:gridSpan w:val="2"/>
            <w:shd w:val="clear" w:color="auto" w:fill="CCFFCC"/>
          </w:tcPr>
          <w:p>
            <w:pPr>
              <w:ind w:left="5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78,088</w:t>
            </w:r>
          </w:p>
        </w:tc>
        <w:tc>
          <w:tcPr>
            <w:tcW w:w="100" w:type="dxa"/>
            <w:vAlign w:val="bottom"/>
            <w:tcBorders>
              <w:bottom w:val="single" w:sz="8" w:color="CCFFCC"/>
            </w:tcBorders>
            <w:shd w:val="clear" w:color="auto" w:fill="CCFFCC"/>
          </w:tcPr>
          <w:p>
            <w:pPr>
              <w:spacing w:after="0"/>
              <w:rPr>
                <w:sz w:val="22"/>
                <w:szCs w:val="22"/>
                <w:color w:val="auto"/>
              </w:rPr>
            </w:pPr>
          </w:p>
        </w:tc>
        <w:tc>
          <w:tcPr>
            <w:tcW w:w="2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66,402</w:t>
            </w:r>
          </w:p>
        </w:tc>
      </w:tr>
      <w:tr>
        <w:trPr>
          <w:trHeight w:val="250"/>
        </w:trPr>
        <w:tc>
          <w:tcPr>
            <w:tcW w:w="8320" w:type="dxa"/>
            <w:vAlign w:val="bottom"/>
          </w:tcPr>
          <w:p>
            <w:pPr>
              <w:ind w:left="40"/>
              <w:spacing w:after="0"/>
              <w:rPr>
                <w:sz w:val="20"/>
                <w:szCs w:val="20"/>
                <w:color w:val="auto"/>
              </w:rPr>
            </w:pPr>
            <w:r>
              <w:rPr>
                <w:rFonts w:ascii="Arial" w:cs="Arial" w:eastAsia="Arial" w:hAnsi="Arial"/>
                <w:sz w:val="16"/>
                <w:szCs w:val="16"/>
                <w:color w:val="auto"/>
              </w:rPr>
              <w:t xml:space="preserve">Costs and expenses </w:t>
            </w:r>
            <w:r>
              <w:rPr>
                <w:rFonts w:ascii="Arial" w:cs="Arial" w:eastAsia="Arial" w:hAnsi="Arial"/>
                <w:sz w:val="21"/>
                <w:szCs w:val="21"/>
                <w:color w:val="auto"/>
                <w:vertAlign w:val="superscript"/>
              </w:rPr>
              <w:t>(1) (2)</w:t>
            </w:r>
          </w:p>
        </w:tc>
        <w:tc>
          <w:tcPr>
            <w:tcW w:w="5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r>
      <w:tr>
        <w:trPr>
          <w:trHeight w:val="270"/>
        </w:trPr>
        <w:tc>
          <w:tcPr>
            <w:tcW w:w="8320" w:type="dxa"/>
            <w:vAlign w:val="bottom"/>
            <w:shd w:val="clear" w:color="auto" w:fill="CCFFCC"/>
          </w:tcPr>
          <w:p>
            <w:pPr>
              <w:ind w:left="18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(3)</w:t>
            </w:r>
          </w:p>
        </w:tc>
        <w:tc>
          <w:tcPr>
            <w:tcW w:w="56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92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22,820</w:t>
            </w:r>
          </w:p>
        </w:tc>
        <w:tc>
          <w:tcPr>
            <w:tcW w:w="10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840" w:type="dxa"/>
            <w:vAlign w:val="bottom"/>
            <w:shd w:val="clear" w:color="auto" w:fill="CCFFCC"/>
          </w:tcPr>
          <w:p>
            <w:pPr>
              <w:jc w:val="right"/>
              <w:ind w:right="42"/>
              <w:spacing w:after="0"/>
              <w:rPr>
                <w:sz w:val="20"/>
                <w:szCs w:val="20"/>
                <w:color w:val="auto"/>
              </w:rPr>
            </w:pPr>
            <w:r>
              <w:rPr>
                <w:rFonts w:ascii="Arial" w:cs="Arial" w:eastAsia="Arial" w:hAnsi="Arial"/>
                <w:sz w:val="16"/>
                <w:szCs w:val="16"/>
                <w:color w:val="auto"/>
              </w:rPr>
              <w:t>18,649</w:t>
            </w:r>
          </w:p>
        </w:tc>
      </w:tr>
      <w:tr>
        <w:trPr>
          <w:trHeight w:val="237"/>
        </w:trPr>
        <w:tc>
          <w:tcPr>
            <w:tcW w:w="832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42,680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33,036</w:t>
            </w:r>
          </w:p>
        </w:tc>
      </w:tr>
      <w:tr>
        <w:trPr>
          <w:trHeight w:val="33"/>
        </w:trPr>
        <w:tc>
          <w:tcPr>
            <w:tcW w:w="8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General and administrative</w:t>
            </w:r>
          </w:p>
        </w:tc>
        <w:tc>
          <w:tcPr>
            <w:tcW w:w="56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16,469</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14,167</w:t>
            </w:r>
          </w:p>
        </w:tc>
      </w:tr>
      <w:tr>
        <w:trPr>
          <w:trHeight w:val="237"/>
        </w:trPr>
        <w:tc>
          <w:tcPr>
            <w:tcW w:w="832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25,716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18,173</w:t>
            </w:r>
          </w:p>
        </w:tc>
      </w:tr>
      <w:tr>
        <w:trPr>
          <w:trHeight w:val="33"/>
        </w:trPr>
        <w:tc>
          <w:tcPr>
            <w:tcW w:w="8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Restructuring costs</w:t>
            </w:r>
          </w:p>
        </w:tc>
        <w:tc>
          <w:tcPr>
            <w:tcW w:w="56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3,190</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279</w:t>
            </w:r>
          </w:p>
        </w:tc>
      </w:tr>
      <w:tr>
        <w:trPr>
          <w:trHeight w:val="237"/>
        </w:trPr>
        <w:tc>
          <w:tcPr>
            <w:tcW w:w="8320" w:type="dxa"/>
            <w:vAlign w:val="bottom"/>
          </w:tcPr>
          <w:p>
            <w:pPr>
              <w:ind w:left="180"/>
              <w:spacing w:after="0"/>
              <w:rPr>
                <w:sz w:val="20"/>
                <w:szCs w:val="20"/>
                <w:color w:val="auto"/>
              </w:rPr>
            </w:pPr>
            <w:r>
              <w:rPr>
                <w:rFonts w:ascii="Arial" w:cs="Arial" w:eastAsia="Arial" w:hAnsi="Arial"/>
                <w:sz w:val="16"/>
                <w:szCs w:val="16"/>
                <w:color w:val="auto"/>
              </w:rPr>
              <w:t>Amortization of purchased intangibles</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461</w:t>
            </w:r>
          </w:p>
        </w:tc>
      </w:tr>
      <w:tr>
        <w:trPr>
          <w:trHeight w:val="33"/>
        </w:trPr>
        <w:tc>
          <w:tcPr>
            <w:tcW w:w="8320" w:type="dxa"/>
            <w:vAlign w:val="bottom"/>
            <w:tcBorders>
              <w:bottom w:val="single" w:sz="8" w:color="CCFFCC"/>
            </w:tcBorders>
          </w:tcPr>
          <w:p>
            <w:pPr>
              <w:spacing w:after="0"/>
              <w:rPr>
                <w:sz w:val="2"/>
                <w:szCs w:val="2"/>
                <w:color w:val="auto"/>
              </w:rPr>
            </w:pPr>
          </w:p>
        </w:tc>
        <w:tc>
          <w:tcPr>
            <w:tcW w:w="5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costs and expenses</w:t>
            </w:r>
          </w:p>
        </w:tc>
        <w:tc>
          <w:tcPr>
            <w:tcW w:w="56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111,280</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84,765</w:t>
            </w:r>
          </w:p>
        </w:tc>
      </w:tr>
      <w:tr>
        <w:trPr>
          <w:trHeight w:val="217"/>
        </w:trPr>
        <w:tc>
          <w:tcPr>
            <w:tcW w:w="8320" w:type="dxa"/>
            <w:vAlign w:val="bottom"/>
          </w:tcPr>
          <w:p>
            <w:pPr>
              <w:ind w:left="280"/>
              <w:spacing w:after="0"/>
              <w:rPr>
                <w:sz w:val="20"/>
                <w:szCs w:val="20"/>
                <w:color w:val="auto"/>
              </w:rPr>
            </w:pPr>
            <w:r>
              <w:rPr>
                <w:rFonts w:ascii="Arial" w:cs="Arial" w:eastAsia="Arial" w:hAnsi="Arial"/>
                <w:sz w:val="16"/>
                <w:szCs w:val="16"/>
                <w:color w:val="auto"/>
              </w:rPr>
              <w:t>Loss from operations</w:t>
            </w:r>
          </w:p>
        </w:tc>
        <w:tc>
          <w:tcPr>
            <w:tcW w:w="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(33,192)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(18,363)</w:t>
            </w:r>
          </w:p>
        </w:tc>
      </w:tr>
      <w:tr>
        <w:trPr>
          <w:trHeight w:val="33"/>
        </w:trPr>
        <w:tc>
          <w:tcPr>
            <w:tcW w:w="8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(expense) income, net</w:t>
            </w:r>
          </w:p>
        </w:tc>
        <w:tc>
          <w:tcPr>
            <w:tcW w:w="56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(2,791)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(667)</w:t>
            </w:r>
          </w:p>
        </w:tc>
      </w:tr>
      <w:tr>
        <w:trPr>
          <w:trHeight w:val="33"/>
        </w:trPr>
        <w:tc>
          <w:tcPr>
            <w:tcW w:w="8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3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Other (expense) income, net</w:t>
            </w:r>
          </w:p>
        </w:tc>
        <w:tc>
          <w:tcPr>
            <w:tcW w:w="56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(667)</w:t>
            </w:r>
          </w:p>
        </w:tc>
        <w:tc>
          <w:tcPr>
            <w:tcW w:w="10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spacing w:after="0"/>
              <w:rPr>
                <w:sz w:val="23"/>
                <w:szCs w:val="23"/>
                <w:color w:val="auto"/>
              </w:rPr>
            </w:pPr>
          </w:p>
        </w:tc>
        <w:tc>
          <w:tcPr>
            <w:tcW w:w="84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733</w:t>
            </w:r>
          </w:p>
        </w:tc>
      </w:tr>
      <w:tr>
        <w:trPr>
          <w:trHeight w:val="217"/>
        </w:trPr>
        <w:tc>
          <w:tcPr>
            <w:tcW w:w="8320" w:type="dxa"/>
            <w:vAlign w:val="bottom"/>
          </w:tcPr>
          <w:p>
            <w:pPr>
              <w:ind w:left="40"/>
              <w:spacing w:after="0"/>
              <w:rPr>
                <w:sz w:val="20"/>
                <w:szCs w:val="20"/>
                <w:color w:val="auto"/>
              </w:rPr>
            </w:pPr>
            <w:r>
              <w:rPr>
                <w:rFonts w:ascii="Arial" w:cs="Arial" w:eastAsia="Arial" w:hAnsi="Arial"/>
                <w:sz w:val="16"/>
                <w:szCs w:val="16"/>
                <w:color w:val="auto"/>
              </w:rPr>
              <w:t>Total other (expense) income, net</w:t>
            </w:r>
          </w:p>
        </w:tc>
        <w:tc>
          <w:tcPr>
            <w:tcW w:w="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66</w:t>
            </w:r>
          </w:p>
        </w:tc>
      </w:tr>
      <w:tr>
        <w:trPr>
          <w:trHeight w:val="33"/>
        </w:trPr>
        <w:tc>
          <w:tcPr>
            <w:tcW w:w="8320" w:type="dxa"/>
            <w:vAlign w:val="bottom"/>
            <w:tcBorders>
              <w:bottom w:val="single" w:sz="8" w:color="CCFFCC"/>
            </w:tcBorders>
          </w:tcPr>
          <w:p>
            <w:pPr>
              <w:spacing w:after="0"/>
              <w:rPr>
                <w:sz w:val="2"/>
                <w:szCs w:val="2"/>
                <w:color w:val="auto"/>
              </w:rPr>
            </w:pPr>
          </w:p>
        </w:tc>
        <w:tc>
          <w:tcPr>
            <w:tcW w:w="5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Loss before provision for income taxes</w:t>
            </w:r>
          </w:p>
        </w:tc>
        <w:tc>
          <w:tcPr>
            <w:tcW w:w="56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(36,649)</w:t>
            </w:r>
          </w:p>
        </w:tc>
        <w:tc>
          <w:tcPr>
            <w:tcW w:w="10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(18,297)</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593</w:t>
            </w:r>
          </w:p>
        </w:tc>
      </w:tr>
      <w:tr>
        <w:trPr>
          <w:trHeight w:val="33"/>
        </w:trPr>
        <w:tc>
          <w:tcPr>
            <w:tcW w:w="8320" w:type="dxa"/>
            <w:vAlign w:val="bottom"/>
            <w:tcBorders>
              <w:bottom w:val="single" w:sz="8" w:color="CCFFCC"/>
            </w:tcBorders>
          </w:tcPr>
          <w:p>
            <w:pPr>
              <w:spacing w:after="0"/>
              <w:rPr>
                <w:sz w:val="2"/>
                <w:szCs w:val="2"/>
                <w:color w:val="auto"/>
              </w:rPr>
            </w:pPr>
          </w:p>
        </w:tc>
        <w:tc>
          <w:tcPr>
            <w:tcW w:w="5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8320" w:type="dxa"/>
            <w:vAlign w:val="bottom"/>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760" w:type="dxa"/>
            <w:vAlign w:val="bottom"/>
            <w:gridSpan w:val="2"/>
            <w:shd w:val="clear" w:color="auto" w:fill="CCFFCC"/>
          </w:tcPr>
          <w:p>
            <w:pPr>
              <w:ind w:left="5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(37,001)</w:t>
            </w:r>
          </w:p>
        </w:tc>
        <w:tc>
          <w:tcPr>
            <w:tcW w:w="100" w:type="dxa"/>
            <w:vAlign w:val="bottom"/>
            <w:shd w:val="clear" w:color="auto" w:fill="CCFFCC"/>
          </w:tcPr>
          <w:p>
            <w:pPr>
              <w:spacing w:after="0"/>
              <w:rPr>
                <w:sz w:val="21"/>
                <w:szCs w:val="21"/>
                <w:color w:val="auto"/>
              </w:rPr>
            </w:pPr>
          </w:p>
        </w:tc>
        <w:tc>
          <w:tcPr>
            <w:tcW w:w="280" w:type="dxa"/>
            <w:vAlign w:val="bottom"/>
            <w:shd w:val="clear" w:color="auto" w:fill="CCFFCC"/>
          </w:tcPr>
          <w:p>
            <w:pPr>
              <w:ind w:lef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(18,890)</w:t>
            </w:r>
          </w:p>
        </w:tc>
      </w:tr>
      <w:tr>
        <w:trPr>
          <w:trHeight w:val="20"/>
        </w:trPr>
        <w:tc>
          <w:tcPr>
            <w:tcW w:w="8320" w:type="dxa"/>
            <w:vAlign w:val="bottom"/>
            <w:tcBorders>
              <w:top w:val="single" w:sz="8" w:color="CCFFCC"/>
            </w:tcBorders>
          </w:tcPr>
          <w:p>
            <w:pPr>
              <w:spacing w:after="0" w:line="20" w:lineRule="exact"/>
              <w:rPr>
                <w:sz w:val="1"/>
                <w:szCs w:val="1"/>
                <w:color w:val="auto"/>
              </w:rPr>
            </w:pPr>
          </w:p>
        </w:tc>
        <w:tc>
          <w:tcPr>
            <w:tcW w:w="5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 per share of common stock:</w:t>
            </w:r>
          </w:p>
        </w:tc>
        <w:tc>
          <w:tcPr>
            <w:tcW w:w="56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r>
      <w:tr>
        <w:trPr>
          <w:trHeight w:val="290"/>
        </w:trPr>
        <w:tc>
          <w:tcPr>
            <w:tcW w:w="832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Basic</w:t>
            </w:r>
          </w:p>
        </w:tc>
        <w:tc>
          <w:tcPr>
            <w:tcW w:w="56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Borders>
              <w:bottom w:val="single" w:sz="8" w:color="CCFFCC"/>
            </w:tcBorders>
          </w:tcPr>
          <w:p>
            <w:pPr>
              <w:spacing w:after="0"/>
              <w:rPr>
                <w:sz w:val="24"/>
                <w:szCs w:val="24"/>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(0.31)</w:t>
            </w:r>
          </w:p>
        </w:tc>
      </w:tr>
      <w:tr>
        <w:trPr>
          <w:trHeight w:val="237"/>
        </w:trPr>
        <w:tc>
          <w:tcPr>
            <w:tcW w:w="8320" w:type="dxa"/>
            <w:vAlign w:val="bottom"/>
            <w:shd w:val="clear" w:color="auto" w:fill="CCFFCC"/>
          </w:tcPr>
          <w:p>
            <w:pPr>
              <w:ind w:left="180"/>
              <w:spacing w:after="0"/>
              <w:rPr>
                <w:sz w:val="20"/>
                <w:szCs w:val="20"/>
                <w:color w:val="auto"/>
              </w:rPr>
            </w:pPr>
            <w:r>
              <w:rPr>
                <w:rFonts w:ascii="Arial" w:cs="Arial" w:eastAsia="Arial" w:hAnsi="Arial"/>
                <w:sz w:val="16"/>
                <w:szCs w:val="16"/>
                <w:color w:val="auto"/>
              </w:rPr>
              <w:t>Diluted</w:t>
            </w:r>
          </w:p>
        </w:tc>
        <w:tc>
          <w:tcPr>
            <w:tcW w:w="760" w:type="dxa"/>
            <w:vAlign w:val="bottom"/>
            <w:gridSpan w:val="2"/>
            <w:shd w:val="clear" w:color="auto" w:fill="CCFFCC"/>
          </w:tcPr>
          <w:p>
            <w:pPr>
              <w:ind w:left="5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(0.57)</w:t>
            </w:r>
          </w:p>
        </w:tc>
        <w:tc>
          <w:tcPr>
            <w:tcW w:w="100" w:type="dxa"/>
            <w:vAlign w:val="bottom"/>
            <w:shd w:val="clear" w:color="auto" w:fill="CCFFCC"/>
          </w:tcPr>
          <w:p>
            <w:pPr>
              <w:spacing w:after="0"/>
              <w:rPr>
                <w:sz w:val="20"/>
                <w:szCs w:val="20"/>
                <w:color w:val="auto"/>
              </w:rPr>
            </w:pPr>
          </w:p>
        </w:tc>
        <w:tc>
          <w:tcPr>
            <w:tcW w:w="280" w:type="dxa"/>
            <w:vAlign w:val="bottom"/>
            <w:shd w:val="clear" w:color="auto" w:fill="CCFFCC"/>
          </w:tcPr>
          <w:p>
            <w:pPr>
              <w:ind w:lef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(0.31)</w:t>
            </w:r>
          </w:p>
        </w:tc>
      </w:tr>
      <w:tr>
        <w:trPr>
          <w:trHeight w:val="20"/>
        </w:trPr>
        <w:tc>
          <w:tcPr>
            <w:tcW w:w="8320" w:type="dxa"/>
            <w:vAlign w:val="bottom"/>
            <w:tcBorders>
              <w:top w:val="single" w:sz="8" w:color="CCFFCC"/>
            </w:tcBorders>
          </w:tcPr>
          <w:p>
            <w:pPr>
              <w:spacing w:after="0" w:line="20" w:lineRule="exact"/>
              <w:rPr>
                <w:sz w:val="1"/>
                <w:szCs w:val="1"/>
                <w:color w:val="auto"/>
              </w:rPr>
            </w:pPr>
          </w:p>
        </w:tc>
        <w:tc>
          <w:tcPr>
            <w:tcW w:w="5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Weighted-average shares used to compute net loss per share:</w:t>
            </w:r>
          </w:p>
        </w:tc>
        <w:tc>
          <w:tcPr>
            <w:tcW w:w="56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r>
      <w:tr>
        <w:trPr>
          <w:trHeight w:val="290"/>
        </w:trPr>
        <w:tc>
          <w:tcPr>
            <w:tcW w:w="832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Basic</w:t>
            </w:r>
          </w:p>
        </w:tc>
        <w:tc>
          <w:tcPr>
            <w:tcW w:w="56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99"/>
              </w:rPr>
              <w:t>64,388,850</w:t>
            </w:r>
          </w:p>
        </w:tc>
        <w:tc>
          <w:tcPr>
            <w:tcW w:w="100" w:type="dxa"/>
            <w:vAlign w:val="bottom"/>
            <w:tcBorders>
              <w:bottom w:val="single" w:sz="8" w:color="CCFFC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7"/>
              </w:rPr>
              <w:t>61,422,227</w:t>
            </w:r>
          </w:p>
        </w:tc>
      </w:tr>
      <w:tr>
        <w:trPr>
          <w:trHeight w:val="237"/>
        </w:trPr>
        <w:tc>
          <w:tcPr>
            <w:tcW w:w="83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Diluted</w:t>
            </w:r>
          </w:p>
        </w:tc>
        <w:tc>
          <w:tcPr>
            <w:tcW w:w="56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auto"/>
            </w:tcBorders>
            <w:shd w:val="clear" w:color="auto" w:fill="CCFFCC"/>
          </w:tcPr>
          <w:p>
            <w:pPr>
              <w:spacing w:after="0"/>
              <w:rPr>
                <w:sz w:val="20"/>
                <w:szCs w:val="20"/>
                <w:color w:val="auto"/>
              </w:rPr>
            </w:pPr>
          </w:p>
        </w:tc>
        <w:tc>
          <w:tcPr>
            <w:tcW w:w="92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w w:val="99"/>
              </w:rPr>
              <w:t>64,388,850</w:t>
            </w:r>
          </w:p>
        </w:tc>
        <w:tc>
          <w:tcPr>
            <w:tcW w:w="10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auto"/>
            </w:tcBorders>
            <w:shd w:val="clear" w:color="auto" w:fill="CCFFCC"/>
          </w:tcPr>
          <w:p>
            <w:pPr>
              <w:spacing w:after="0"/>
              <w:rPr>
                <w:sz w:val="20"/>
                <w:szCs w:val="20"/>
                <w:color w:val="auto"/>
              </w:rPr>
            </w:pPr>
          </w:p>
        </w:tc>
        <w:tc>
          <w:tcPr>
            <w:tcW w:w="84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w w:val="87"/>
              </w:rPr>
              <w:t>61,422,227</w:t>
            </w:r>
          </w:p>
        </w:tc>
      </w:tr>
      <w:tr>
        <w:trPr>
          <w:trHeight w:val="20"/>
        </w:trPr>
        <w:tc>
          <w:tcPr>
            <w:tcW w:w="8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8320" w:type="dxa"/>
            <w:vAlign w:val="bottom"/>
            <w:tcBorders>
              <w:bottom w:val="single" w:sz="8" w:color="auto"/>
            </w:tcBorders>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40" w:type="dxa"/>
            <w:vAlign w:val="bottom"/>
            <w:shd w:val="clear" w:color="auto" w:fill="CCFFCC"/>
          </w:tcPr>
          <w:p>
            <w:pPr>
              <w:spacing w:after="0"/>
              <w:rPr>
                <w:sz w:val="24"/>
                <w:szCs w:val="24"/>
                <w:color w:val="auto"/>
              </w:rPr>
            </w:pPr>
          </w:p>
        </w:tc>
      </w:tr>
      <w:tr>
        <w:trPr>
          <w:trHeight w:val="244"/>
        </w:trPr>
        <w:tc>
          <w:tcPr>
            <w:tcW w:w="8320" w:type="dxa"/>
            <w:vAlign w:val="bottom"/>
          </w:tcPr>
          <w:p>
            <w:pPr>
              <w:ind w:left="1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Amounts include stock-based compensation expense, as follows:</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6"/>
        </w:trPr>
        <w:tc>
          <w:tcPr>
            <w:tcW w:w="8320" w:type="dxa"/>
            <w:vAlign w:val="bottom"/>
            <w:shd w:val="clear" w:color="auto" w:fill="CCFFCC"/>
          </w:tcPr>
          <w:p>
            <w:pPr>
              <w:ind w:left="380"/>
              <w:spacing w:after="0"/>
              <w:rPr>
                <w:sz w:val="20"/>
                <w:szCs w:val="20"/>
                <w:color w:val="auto"/>
              </w:rPr>
            </w:pPr>
            <w:r>
              <w:rPr>
                <w:rFonts w:ascii="Arial" w:cs="Arial" w:eastAsia="Arial" w:hAnsi="Arial"/>
                <w:sz w:val="14"/>
                <w:szCs w:val="14"/>
                <w:color w:val="auto"/>
              </w:rPr>
              <w:t>Cost of revenue</w:t>
            </w:r>
          </w:p>
        </w:tc>
        <w:tc>
          <w:tcPr>
            <w:tcW w:w="760" w:type="dxa"/>
            <w:vAlign w:val="bottom"/>
            <w:gridSpan w:val="2"/>
            <w:shd w:val="clear" w:color="auto" w:fill="CCFFCC"/>
          </w:tcPr>
          <w:p>
            <w:pPr>
              <w:ind w:left="5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1,249</w:t>
            </w:r>
          </w:p>
        </w:tc>
        <w:tc>
          <w:tcPr>
            <w:tcW w:w="100" w:type="dxa"/>
            <w:vAlign w:val="bottom"/>
            <w:shd w:val="clear" w:color="auto" w:fill="CCFFCC"/>
          </w:tcPr>
          <w:p>
            <w:pPr>
              <w:spacing w:after="0"/>
              <w:rPr>
                <w:sz w:val="24"/>
                <w:szCs w:val="24"/>
                <w:color w:val="auto"/>
              </w:rPr>
            </w:pPr>
          </w:p>
        </w:tc>
        <w:tc>
          <w:tcPr>
            <w:tcW w:w="280" w:type="dxa"/>
            <w:vAlign w:val="bottom"/>
            <w:shd w:val="clear" w:color="auto" w:fill="CCFFCC"/>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ind w:right="42"/>
              <w:spacing w:after="0"/>
              <w:rPr>
                <w:sz w:val="20"/>
                <w:szCs w:val="20"/>
                <w:color w:val="auto"/>
              </w:rPr>
            </w:pPr>
            <w:r>
              <w:rPr>
                <w:rFonts w:ascii="Arial" w:cs="Arial" w:eastAsia="Arial" w:hAnsi="Arial"/>
                <w:sz w:val="14"/>
                <w:szCs w:val="14"/>
                <w:color w:val="auto"/>
              </w:rPr>
              <w:t>620</w:t>
            </w:r>
          </w:p>
        </w:tc>
      </w:tr>
      <w:tr>
        <w:trPr>
          <w:trHeight w:val="264"/>
        </w:trPr>
        <w:tc>
          <w:tcPr>
            <w:tcW w:w="8320" w:type="dxa"/>
            <w:vAlign w:val="bottom"/>
          </w:tcPr>
          <w:p>
            <w:pPr>
              <w:ind w:left="380"/>
              <w:spacing w:after="0"/>
              <w:rPr>
                <w:sz w:val="20"/>
                <w:szCs w:val="20"/>
                <w:color w:val="auto"/>
              </w:rPr>
            </w:pPr>
            <w:r>
              <w:rPr>
                <w:rFonts w:ascii="Arial" w:cs="Arial" w:eastAsia="Arial" w:hAnsi="Arial"/>
                <w:sz w:val="14"/>
                <w:szCs w:val="14"/>
                <w:color w:val="auto"/>
              </w:rPr>
              <w:t>Sales and marketing</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3"/>
              <w:spacing w:after="0"/>
              <w:rPr>
                <w:sz w:val="20"/>
                <w:szCs w:val="20"/>
                <w:color w:val="auto"/>
              </w:rPr>
            </w:pPr>
            <w:r>
              <w:rPr>
                <w:rFonts w:ascii="Arial" w:cs="Arial" w:eastAsia="Arial" w:hAnsi="Arial"/>
                <w:sz w:val="14"/>
                <w:szCs w:val="14"/>
                <w:color w:val="auto"/>
              </w:rPr>
              <w:t>5,138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2"/>
              <w:spacing w:after="0"/>
              <w:rPr>
                <w:sz w:val="20"/>
                <w:szCs w:val="20"/>
                <w:color w:val="auto"/>
              </w:rPr>
            </w:pPr>
            <w:r>
              <w:rPr>
                <w:rFonts w:ascii="Arial" w:cs="Arial" w:eastAsia="Arial" w:hAnsi="Arial"/>
                <w:sz w:val="14"/>
                <w:szCs w:val="14"/>
                <w:color w:val="auto"/>
              </w:rPr>
              <w:t>1,599</w:t>
            </w:r>
          </w:p>
        </w:tc>
      </w:tr>
      <w:tr>
        <w:trPr>
          <w:trHeight w:val="276"/>
        </w:trPr>
        <w:tc>
          <w:tcPr>
            <w:tcW w:w="8320" w:type="dxa"/>
            <w:vAlign w:val="bottom"/>
            <w:shd w:val="clear" w:color="auto" w:fill="CCFFCC"/>
          </w:tcPr>
          <w:p>
            <w:pPr>
              <w:ind w:left="380"/>
              <w:spacing w:after="0"/>
              <w:rPr>
                <w:sz w:val="20"/>
                <w:szCs w:val="20"/>
                <w:color w:val="auto"/>
              </w:rPr>
            </w:pPr>
            <w:r>
              <w:rPr>
                <w:rFonts w:ascii="Arial" w:cs="Arial" w:eastAsia="Arial" w:hAnsi="Arial"/>
                <w:sz w:val="14"/>
                <w:szCs w:val="14"/>
                <w:color w:val="auto"/>
              </w:rPr>
              <w:t>General and administrative</w:t>
            </w:r>
          </w:p>
        </w:tc>
        <w:tc>
          <w:tcPr>
            <w:tcW w:w="56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2,727</w:t>
            </w:r>
          </w:p>
        </w:tc>
        <w:tc>
          <w:tcPr>
            <w:tcW w:w="10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40" w:type="dxa"/>
            <w:vAlign w:val="bottom"/>
            <w:shd w:val="clear" w:color="auto" w:fill="CCFFCC"/>
          </w:tcPr>
          <w:p>
            <w:pPr>
              <w:jc w:val="right"/>
              <w:ind w:right="42"/>
              <w:spacing w:after="0"/>
              <w:rPr>
                <w:sz w:val="20"/>
                <w:szCs w:val="20"/>
                <w:color w:val="auto"/>
              </w:rPr>
            </w:pPr>
            <w:r>
              <w:rPr>
                <w:rFonts w:ascii="Arial" w:cs="Arial" w:eastAsia="Arial" w:hAnsi="Arial"/>
                <w:sz w:val="14"/>
                <w:szCs w:val="14"/>
                <w:color w:val="auto"/>
              </w:rPr>
              <w:t>2,566</w:t>
            </w:r>
          </w:p>
        </w:tc>
      </w:tr>
      <w:tr>
        <w:trPr>
          <w:trHeight w:val="264"/>
        </w:trPr>
        <w:tc>
          <w:tcPr>
            <w:tcW w:w="8320" w:type="dxa"/>
            <w:vAlign w:val="bottom"/>
          </w:tcPr>
          <w:p>
            <w:pPr>
              <w:ind w:left="380"/>
              <w:spacing w:after="0"/>
              <w:rPr>
                <w:sz w:val="20"/>
                <w:szCs w:val="20"/>
                <w:color w:val="auto"/>
              </w:rPr>
            </w:pPr>
            <w:r>
              <w:rPr>
                <w:rFonts w:ascii="Arial" w:cs="Arial" w:eastAsia="Arial" w:hAnsi="Arial"/>
                <w:sz w:val="14"/>
                <w:szCs w:val="14"/>
                <w:color w:val="auto"/>
              </w:rPr>
              <w:t>Product development</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3"/>
              <w:spacing w:after="0"/>
              <w:rPr>
                <w:sz w:val="20"/>
                <w:szCs w:val="20"/>
                <w:color w:val="auto"/>
              </w:rPr>
            </w:pPr>
            <w:r>
              <w:rPr>
                <w:rFonts w:ascii="Arial" w:cs="Arial" w:eastAsia="Arial" w:hAnsi="Arial"/>
                <w:sz w:val="14"/>
                <w:szCs w:val="14"/>
                <w:color w:val="auto"/>
              </w:rPr>
              <w:t>5,581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2"/>
              <w:spacing w:after="0"/>
              <w:rPr>
                <w:sz w:val="20"/>
                <w:szCs w:val="20"/>
                <w:color w:val="auto"/>
              </w:rPr>
            </w:pPr>
            <w:r>
              <w:rPr>
                <w:rFonts w:ascii="Arial" w:cs="Arial" w:eastAsia="Arial" w:hAnsi="Arial"/>
                <w:sz w:val="14"/>
                <w:szCs w:val="14"/>
                <w:color w:val="auto"/>
              </w:rPr>
              <w:t>2,381</w:t>
            </w:r>
          </w:p>
        </w:tc>
      </w:tr>
      <w:tr>
        <w:trPr>
          <w:trHeight w:val="276"/>
        </w:trPr>
        <w:tc>
          <w:tcPr>
            <w:tcW w:w="832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40" w:type="dxa"/>
            <w:vAlign w:val="bottom"/>
            <w:shd w:val="clear" w:color="auto" w:fill="CCFFCC"/>
          </w:tcPr>
          <w:p>
            <w:pPr>
              <w:spacing w:after="0"/>
              <w:rPr>
                <w:sz w:val="24"/>
                <w:szCs w:val="24"/>
                <w:color w:val="auto"/>
              </w:rPr>
            </w:pPr>
          </w:p>
        </w:tc>
      </w:tr>
      <w:tr>
        <w:trPr>
          <w:trHeight w:val="264"/>
        </w:trPr>
        <w:tc>
          <w:tcPr>
            <w:tcW w:w="8320" w:type="dxa"/>
            <w:vAlign w:val="bottom"/>
          </w:tcPr>
          <w:p>
            <w:pPr>
              <w:ind w:left="180"/>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4"/>
                <w:szCs w:val="14"/>
                <w:color w:val="auto"/>
              </w:rPr>
              <w:t>Amounts include depreciation expense, as follows:</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8320" w:type="dxa"/>
            <w:vAlign w:val="bottom"/>
            <w:shd w:val="clear" w:color="auto" w:fill="CCFFCC"/>
          </w:tcPr>
          <w:p>
            <w:pPr>
              <w:ind w:left="380"/>
              <w:spacing w:after="0"/>
              <w:rPr>
                <w:sz w:val="20"/>
                <w:szCs w:val="20"/>
                <w:color w:val="auto"/>
              </w:rPr>
            </w:pPr>
            <w:r>
              <w:rPr>
                <w:rFonts w:ascii="Arial" w:cs="Arial" w:eastAsia="Arial" w:hAnsi="Arial"/>
                <w:sz w:val="14"/>
                <w:szCs w:val="14"/>
                <w:color w:val="auto"/>
              </w:rPr>
              <w:t>Cost of revenue</w:t>
            </w:r>
          </w:p>
        </w:tc>
        <w:tc>
          <w:tcPr>
            <w:tcW w:w="760" w:type="dxa"/>
            <w:vAlign w:val="bottom"/>
            <w:gridSpan w:val="2"/>
            <w:shd w:val="clear" w:color="auto" w:fill="CCFFCC"/>
          </w:tcPr>
          <w:p>
            <w:pPr>
              <w:ind w:left="5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2,373</w:t>
            </w:r>
          </w:p>
        </w:tc>
        <w:tc>
          <w:tcPr>
            <w:tcW w:w="100" w:type="dxa"/>
            <w:vAlign w:val="bottom"/>
            <w:shd w:val="clear" w:color="auto" w:fill="CCFFCC"/>
          </w:tcPr>
          <w:p>
            <w:pPr>
              <w:spacing w:after="0"/>
              <w:rPr>
                <w:sz w:val="24"/>
                <w:szCs w:val="24"/>
                <w:color w:val="auto"/>
              </w:rPr>
            </w:pPr>
          </w:p>
        </w:tc>
        <w:tc>
          <w:tcPr>
            <w:tcW w:w="280" w:type="dxa"/>
            <w:vAlign w:val="bottom"/>
            <w:shd w:val="clear" w:color="auto" w:fill="CCFFCC"/>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ind w:right="42"/>
              <w:spacing w:after="0"/>
              <w:rPr>
                <w:sz w:val="20"/>
                <w:szCs w:val="20"/>
                <w:color w:val="auto"/>
              </w:rPr>
            </w:pPr>
            <w:r>
              <w:rPr>
                <w:rFonts w:ascii="Arial" w:cs="Arial" w:eastAsia="Arial" w:hAnsi="Arial"/>
                <w:sz w:val="14"/>
                <w:szCs w:val="14"/>
                <w:color w:val="auto"/>
              </w:rPr>
              <w:t>2,027</w:t>
            </w:r>
          </w:p>
        </w:tc>
      </w:tr>
      <w:tr>
        <w:trPr>
          <w:trHeight w:val="264"/>
        </w:trPr>
        <w:tc>
          <w:tcPr>
            <w:tcW w:w="8320" w:type="dxa"/>
            <w:vAlign w:val="bottom"/>
          </w:tcPr>
          <w:p>
            <w:pPr>
              <w:ind w:left="380"/>
              <w:spacing w:after="0"/>
              <w:rPr>
                <w:sz w:val="20"/>
                <w:szCs w:val="20"/>
                <w:color w:val="auto"/>
              </w:rPr>
            </w:pPr>
            <w:r>
              <w:rPr>
                <w:rFonts w:ascii="Arial" w:cs="Arial" w:eastAsia="Arial" w:hAnsi="Arial"/>
                <w:sz w:val="14"/>
                <w:szCs w:val="14"/>
                <w:color w:val="auto"/>
              </w:rPr>
              <w:t>Sales and marketing</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3"/>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2"/>
              <w:spacing w:after="0"/>
              <w:rPr>
                <w:sz w:val="20"/>
                <w:szCs w:val="20"/>
                <w:color w:val="auto"/>
              </w:rPr>
            </w:pPr>
            <w:r>
              <w:rPr>
                <w:rFonts w:ascii="Arial" w:cs="Arial" w:eastAsia="Arial" w:hAnsi="Arial"/>
                <w:sz w:val="14"/>
                <w:szCs w:val="14"/>
                <w:color w:val="auto"/>
              </w:rPr>
              <w:t>357</w:t>
            </w:r>
          </w:p>
        </w:tc>
      </w:tr>
      <w:tr>
        <w:trPr>
          <w:trHeight w:val="276"/>
        </w:trPr>
        <w:tc>
          <w:tcPr>
            <w:tcW w:w="8320" w:type="dxa"/>
            <w:vAlign w:val="bottom"/>
            <w:shd w:val="clear" w:color="auto" w:fill="CCFFCC"/>
          </w:tcPr>
          <w:p>
            <w:pPr>
              <w:ind w:left="380"/>
              <w:spacing w:after="0"/>
              <w:rPr>
                <w:sz w:val="20"/>
                <w:szCs w:val="20"/>
                <w:color w:val="auto"/>
              </w:rPr>
            </w:pPr>
            <w:r>
              <w:rPr>
                <w:rFonts w:ascii="Arial" w:cs="Arial" w:eastAsia="Arial" w:hAnsi="Arial"/>
                <w:sz w:val="14"/>
                <w:szCs w:val="14"/>
                <w:color w:val="auto"/>
              </w:rPr>
              <w:t>General and administrative</w:t>
            </w:r>
          </w:p>
        </w:tc>
        <w:tc>
          <w:tcPr>
            <w:tcW w:w="56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40" w:type="dxa"/>
            <w:vAlign w:val="bottom"/>
            <w:shd w:val="clear" w:color="auto" w:fill="CCFFCC"/>
          </w:tcPr>
          <w:p>
            <w:pPr>
              <w:jc w:val="right"/>
              <w:ind w:right="42"/>
              <w:spacing w:after="0"/>
              <w:rPr>
                <w:sz w:val="20"/>
                <w:szCs w:val="20"/>
                <w:color w:val="auto"/>
              </w:rPr>
            </w:pPr>
            <w:r>
              <w:rPr>
                <w:rFonts w:ascii="Arial" w:cs="Arial" w:eastAsia="Arial" w:hAnsi="Arial"/>
                <w:sz w:val="14"/>
                <w:szCs w:val="14"/>
                <w:color w:val="auto"/>
              </w:rPr>
              <w:t>231</w:t>
            </w:r>
          </w:p>
        </w:tc>
      </w:tr>
      <w:tr>
        <w:trPr>
          <w:trHeight w:val="264"/>
        </w:trPr>
        <w:tc>
          <w:tcPr>
            <w:tcW w:w="8320" w:type="dxa"/>
            <w:vAlign w:val="bottom"/>
          </w:tcPr>
          <w:p>
            <w:pPr>
              <w:ind w:left="380"/>
              <w:spacing w:after="0"/>
              <w:rPr>
                <w:sz w:val="20"/>
                <w:szCs w:val="20"/>
                <w:color w:val="auto"/>
              </w:rPr>
            </w:pPr>
            <w:r>
              <w:rPr>
                <w:rFonts w:ascii="Arial" w:cs="Arial" w:eastAsia="Arial" w:hAnsi="Arial"/>
                <w:sz w:val="14"/>
                <w:szCs w:val="14"/>
                <w:color w:val="auto"/>
              </w:rPr>
              <w:t>Product development</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3"/>
              <w:spacing w:after="0"/>
              <w:rPr>
                <w:sz w:val="20"/>
                <w:szCs w:val="20"/>
                <w:color w:val="auto"/>
              </w:rPr>
            </w:pPr>
            <w:r>
              <w:rPr>
                <w:rFonts w:ascii="Arial" w:cs="Arial" w:eastAsia="Arial" w:hAnsi="Arial"/>
                <w:sz w:val="14"/>
                <w:szCs w:val="14"/>
                <w:color w:val="auto"/>
              </w:rPr>
              <w:t>2,392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2"/>
              <w:spacing w:after="0"/>
              <w:rPr>
                <w:sz w:val="20"/>
                <w:szCs w:val="20"/>
                <w:color w:val="auto"/>
              </w:rPr>
            </w:pPr>
            <w:r>
              <w:rPr>
                <w:rFonts w:ascii="Arial" w:cs="Arial" w:eastAsia="Arial" w:hAnsi="Arial"/>
                <w:sz w:val="14"/>
                <w:szCs w:val="14"/>
                <w:color w:val="auto"/>
              </w:rPr>
              <w:t>1,266</w:t>
            </w:r>
          </w:p>
        </w:tc>
      </w:tr>
      <w:tr>
        <w:trPr>
          <w:trHeight w:val="289"/>
        </w:trPr>
        <w:tc>
          <w:tcPr>
            <w:tcW w:w="832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40" w:type="dxa"/>
            <w:vAlign w:val="bottom"/>
            <w:shd w:val="clear" w:color="auto" w:fill="CCFFCC"/>
          </w:tcPr>
          <w:p>
            <w:pPr>
              <w:spacing w:after="0"/>
              <w:rPr>
                <w:sz w:val="24"/>
                <w:szCs w:val="24"/>
                <w:color w:val="auto"/>
              </w:rPr>
            </w:pPr>
          </w:p>
        </w:tc>
      </w:tr>
      <w:tr>
        <w:trPr>
          <w:trHeight w:val="264"/>
        </w:trPr>
        <w:tc>
          <w:tcPr>
            <w:tcW w:w="8320" w:type="dxa"/>
            <w:vAlign w:val="bottom"/>
          </w:tcPr>
          <w:p>
            <w:pPr>
              <w:ind w:left="180"/>
              <w:spacing w:after="0"/>
              <w:rPr>
                <w:sz w:val="20"/>
                <w:szCs w:val="20"/>
                <w:color w:val="auto"/>
              </w:rPr>
            </w:pPr>
            <w:r>
              <w:rPr>
                <w:rFonts w:ascii="Arial" w:cs="Arial" w:eastAsia="Arial" w:hAnsi="Arial"/>
                <w:sz w:val="9"/>
                <w:szCs w:val="9"/>
                <w:color w:val="auto"/>
              </w:rPr>
              <w:t xml:space="preserve">(3) </w:t>
            </w:r>
            <w:r>
              <w:rPr>
                <w:rFonts w:ascii="Arial" w:cs="Arial" w:eastAsia="Arial" w:hAnsi="Arial"/>
                <w:sz w:val="14"/>
                <w:szCs w:val="14"/>
                <w:color w:val="auto"/>
              </w:rPr>
              <w:t>Amounts include amortization of purchased intangibles, as follows:</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8320" w:type="dxa"/>
            <w:vAlign w:val="bottom"/>
            <w:shd w:val="clear" w:color="auto" w:fill="CCFFCC"/>
          </w:tcPr>
          <w:p>
            <w:pPr>
              <w:ind w:left="380"/>
              <w:spacing w:after="0"/>
              <w:rPr>
                <w:sz w:val="20"/>
                <w:szCs w:val="20"/>
                <w:color w:val="auto"/>
              </w:rPr>
            </w:pPr>
            <w:r>
              <w:rPr>
                <w:rFonts w:ascii="Arial" w:cs="Arial" w:eastAsia="Arial" w:hAnsi="Arial"/>
                <w:sz w:val="14"/>
                <w:szCs w:val="14"/>
                <w:color w:val="auto"/>
              </w:rPr>
              <w:t>Cost of revenue</w:t>
            </w:r>
          </w:p>
        </w:tc>
        <w:tc>
          <w:tcPr>
            <w:tcW w:w="760" w:type="dxa"/>
            <w:vAlign w:val="bottom"/>
            <w:gridSpan w:val="2"/>
            <w:shd w:val="clear" w:color="auto" w:fill="CCFFCC"/>
          </w:tcPr>
          <w:p>
            <w:pPr>
              <w:ind w:left="5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FFCC"/>
          </w:tcPr>
          <w:p>
            <w:pPr>
              <w:spacing w:after="0"/>
              <w:rPr>
                <w:sz w:val="24"/>
                <w:szCs w:val="24"/>
                <w:color w:val="auto"/>
              </w:rPr>
            </w:pPr>
          </w:p>
        </w:tc>
        <w:tc>
          <w:tcPr>
            <w:tcW w:w="280" w:type="dxa"/>
            <w:vAlign w:val="bottom"/>
            <w:shd w:val="clear" w:color="auto" w:fill="CCFFCC"/>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ind w:right="42"/>
              <w:spacing w:after="0"/>
              <w:rPr>
                <w:sz w:val="20"/>
                <w:szCs w:val="20"/>
                <w:color w:val="auto"/>
              </w:rPr>
            </w:pPr>
            <w:r>
              <w:rPr>
                <w:rFonts w:ascii="Arial" w:cs="Arial" w:eastAsia="Arial" w:hAnsi="Arial"/>
                <w:sz w:val="14"/>
                <w:szCs w:val="14"/>
                <w:color w:val="auto"/>
              </w:rPr>
              <w:t>285</w:t>
            </w: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220"/>
          </w:cols>
          <w:pgMar w:left="320" w:top="742" w:right="3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20"/>
          </w:cols>
          <w:pgMar w:left="320" w:top="742" w:right="35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989" w:right="1440" w:bottom="1440" w:gutter="0" w:footer="0" w:header="0"/>
        </w:sectPr>
      </w:pPr>
    </w:p>
    <w:bookmarkStart w:id="7" w:name="page8"/>
    <w:bookmarkEnd w:id="7"/>
    <w:p>
      <w:pPr>
        <w:ind w:left="48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9"/>
              </w:rPr>
              <w:t>March 31,</w:t>
            </w:r>
          </w:p>
        </w:tc>
        <w:tc>
          <w:tcPr>
            <w:tcW w:w="640" w:type="dxa"/>
            <w:vAlign w:val="bottom"/>
            <w:tcBorders>
              <w:bottom w:val="single" w:sz="8" w:color="auto"/>
            </w:tcBorders>
          </w:tcPr>
          <w:p>
            <w:pPr>
              <w:spacing w:after="0"/>
              <w:rPr>
                <w:sz w:val="24"/>
                <w:szCs w:val="24"/>
                <w:color w:val="auto"/>
              </w:rPr>
            </w:pPr>
          </w:p>
        </w:tc>
      </w:tr>
      <w:tr>
        <w:trPr>
          <w:trHeight w:val="264"/>
        </w:trPr>
        <w:tc>
          <w:tcPr>
            <w:tcW w:w="9220" w:type="dxa"/>
            <w:vAlign w:val="bottom"/>
            <w:tcBorders>
              <w:bottom w:val="single" w:sz="8" w:color="CCFFC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FFC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2019</w:t>
            </w:r>
          </w:p>
        </w:tc>
      </w:tr>
      <w:tr>
        <w:trPr>
          <w:trHeight w:val="236"/>
        </w:trPr>
        <w:tc>
          <w:tcPr>
            <w:tcW w:w="9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2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(37,001)</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3"/>
              </w:rPr>
              <w:t>(18,890)</w:t>
            </w:r>
          </w:p>
        </w:tc>
      </w:tr>
      <w:tr>
        <w:trPr>
          <w:trHeight w:val="237"/>
        </w:trPr>
        <w:tc>
          <w:tcPr>
            <w:tcW w:w="922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40" w:type="dxa"/>
            <w:vAlign w:val="bottom"/>
          </w:tcPr>
          <w:p>
            <w:pPr>
              <w:spacing w:after="0"/>
              <w:rPr>
                <w:sz w:val="20"/>
                <w:szCs w:val="20"/>
                <w:color w:val="auto"/>
              </w:rPr>
            </w:pP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2,469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207</w:t>
            </w:r>
          </w:p>
        </w:tc>
      </w:tr>
      <w:tr>
        <w:trPr>
          <w:trHeight w:val="33"/>
        </w:trPr>
        <w:tc>
          <w:tcPr>
            <w:tcW w:w="92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9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Comprehensive loss</w:t>
            </w:r>
          </w:p>
        </w:tc>
        <w:tc>
          <w:tcPr>
            <w:tcW w:w="2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(34,532)</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93"/>
              </w:rPr>
              <w:t>(18,683)</w:t>
            </w:r>
          </w:p>
        </w:tc>
      </w:tr>
      <w:tr>
        <w:trPr>
          <w:trHeight w:val="20"/>
        </w:trPr>
        <w:tc>
          <w:tcPr>
            <w:tcW w:w="9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42" w:right="339" w:bottom="1440" w:gutter="0" w:footer="0" w:header="0"/>
        </w:sectPr>
      </w:pPr>
    </w:p>
    <w:bookmarkStart w:id="8" w:name="page9"/>
    <w:bookmarkEnd w:id="8"/>
    <w:p>
      <w:pPr>
        <w:ind w:left="424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64293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19685</wp:posOffset>
            </wp:positionV>
            <wp:extent cx="64293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1620" w:type="dxa"/>
            <w:vAlign w:val="bottom"/>
            <w:gridSpan w:val="5"/>
            <w:vMerge w:val="restart"/>
          </w:tcPr>
          <w:p>
            <w:pPr>
              <w:ind w:left="360"/>
              <w:spacing w:after="0"/>
              <w:rPr>
                <w:sz w:val="20"/>
                <w:szCs w:val="20"/>
                <w:color w:val="auto"/>
              </w:rPr>
            </w:pPr>
            <w:r>
              <w:rPr>
                <w:rFonts w:ascii="Arial" w:cs="Arial" w:eastAsia="Arial" w:hAnsi="Arial"/>
                <w:sz w:val="13"/>
                <w:szCs w:val="13"/>
                <w:b w:val="1"/>
                <w:bCs w:val="1"/>
                <w:color w:val="auto"/>
              </w:rPr>
              <w:t>Common Stock</w:t>
            </w: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b w:val="1"/>
                <w:bCs w:val="1"/>
                <w:color w:val="auto"/>
              </w:rPr>
              <w:t>Treasury Stock</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560" w:type="dxa"/>
            <w:vAlign w:val="bottom"/>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1600" w:type="dxa"/>
            <w:vAlign w:val="bottom"/>
            <w:gridSpan w:val="5"/>
            <w:vMerge w:val="continue"/>
          </w:tcPr>
          <w:p>
            <w:pPr>
              <w:spacing w:after="0"/>
              <w:rPr>
                <w:sz w:val="12"/>
                <w:szCs w:val="12"/>
                <w:color w:val="auto"/>
              </w:rPr>
            </w:pPr>
          </w:p>
        </w:tc>
        <w:tc>
          <w:tcPr>
            <w:tcW w:w="8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88"/>
              </w:rPr>
              <w:t>Additional</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2"/>
              </w:rPr>
              <w:t>Other</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5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9"/>
              </w:rPr>
              <w:t>Paid-in</w:t>
            </w:r>
          </w:p>
        </w:tc>
        <w:tc>
          <w:tcPr>
            <w:tcW w:w="86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1000" w:type="dxa"/>
            <w:vAlign w:val="bottom"/>
            <w:gridSpan w:val="3"/>
          </w:tcPr>
          <w:p>
            <w:pPr>
              <w:jc w:val="center"/>
              <w:ind w:right="12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560" w:type="dxa"/>
            <w:vAlign w:val="bottom"/>
          </w:tcPr>
          <w:p>
            <w:pPr>
              <w:spacing w:after="0"/>
              <w:rPr>
                <w:sz w:val="15"/>
                <w:szCs w:val="15"/>
                <w:color w:val="auto"/>
              </w:rPr>
            </w:pP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Capital</w:t>
            </w: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8"/>
              </w:rPr>
              <w:t>Loss</w:t>
            </w: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356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3"/>
                <w:szCs w:val="13"/>
                <w:color w:val="auto"/>
              </w:rPr>
              <w:t>Balance at December 31, 2019</w:t>
            </w:r>
          </w:p>
        </w:tc>
        <w:tc>
          <w:tcPr>
            <w:tcW w:w="700" w:type="dxa"/>
            <w:vAlign w:val="bottom"/>
            <w:tcBorders>
              <w:top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w w:val="92"/>
              </w:rPr>
              <w:t>66,543,073</w:t>
            </w:r>
          </w:p>
        </w:tc>
        <w:tc>
          <w:tcPr>
            <w:tcW w:w="120" w:type="dxa"/>
            <w:vAlign w:val="bottom"/>
            <w:tcBorders>
              <w:top w:val="single" w:sz="8" w:color="CCFFCC"/>
            </w:tcBorders>
            <w:shd w:val="clear" w:color="auto" w:fill="CCFFCC"/>
          </w:tcPr>
          <w:p>
            <w:pPr>
              <w:spacing w:after="0"/>
              <w:rPr>
                <w:sz w:val="22"/>
                <w:szCs w:val="22"/>
                <w:color w:val="auto"/>
              </w:rPr>
            </w:pPr>
          </w:p>
        </w:tc>
        <w:tc>
          <w:tcPr>
            <w:tcW w:w="100" w:type="dxa"/>
            <w:vAlign w:val="bottom"/>
            <w:tcBorders>
              <w:top w:val="single" w:sz="8" w:color="auto"/>
            </w:tcBorders>
            <w:shd w:val="clear" w:color="auto" w:fill="CCFFCC"/>
          </w:tcPr>
          <w:p>
            <w:pPr>
              <w:spacing w:after="0"/>
              <w:rPr>
                <w:sz w:val="22"/>
                <w:szCs w:val="22"/>
                <w:color w:val="auto"/>
              </w:rPr>
            </w:pPr>
          </w:p>
        </w:tc>
        <w:tc>
          <w:tcPr>
            <w:tcW w:w="580" w:type="dxa"/>
            <w:vAlign w:val="bottom"/>
            <w:tcBorders>
              <w:top w:val="single" w:sz="8" w:color="auto"/>
            </w:tcBorders>
            <w:shd w:val="clear" w:color="auto" w:fill="CCFFCC"/>
          </w:tcPr>
          <w:p>
            <w:pPr>
              <w:jc w:val="right"/>
              <w:ind w:right="37"/>
              <w:spacing w:after="0"/>
              <w:rPr>
                <w:sz w:val="20"/>
                <w:szCs w:val="20"/>
                <w:color w:val="auto"/>
              </w:rPr>
            </w:pPr>
            <w:r>
              <w:rPr>
                <w:rFonts w:ascii="Arial" w:cs="Arial" w:eastAsia="Arial" w:hAnsi="Arial"/>
                <w:sz w:val="13"/>
                <w:szCs w:val="13"/>
                <w:color w:val="auto"/>
              </w:rPr>
              <w:t>67</w:t>
            </w:r>
          </w:p>
        </w:tc>
        <w:tc>
          <w:tcPr>
            <w:tcW w:w="120" w:type="dxa"/>
            <w:vAlign w:val="bottom"/>
            <w:tcBorders>
              <w:top w:val="single" w:sz="8" w:color="CCFFCC"/>
            </w:tcBorders>
            <w:shd w:val="clear" w:color="auto" w:fill="CCFFCC"/>
          </w:tcPr>
          <w:p>
            <w:pPr>
              <w:spacing w:after="0"/>
              <w:rPr>
                <w:sz w:val="22"/>
                <w:szCs w:val="22"/>
                <w:color w:val="auto"/>
              </w:rPr>
            </w:pPr>
          </w:p>
        </w:tc>
        <w:tc>
          <w:tcPr>
            <w:tcW w:w="7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93"/>
              </w:rPr>
              <w:t>(2,709,830)</w:t>
            </w:r>
          </w:p>
        </w:tc>
        <w:tc>
          <w:tcPr>
            <w:tcW w:w="100" w:type="dxa"/>
            <w:vAlign w:val="bottom"/>
            <w:tcBorders>
              <w:top w:val="single" w:sz="8" w:color="CCFFCC"/>
            </w:tcBorders>
            <w:shd w:val="clear" w:color="auto" w:fill="CCFFCC"/>
          </w:tcPr>
          <w:p>
            <w:pPr>
              <w:spacing w:after="0"/>
              <w:rPr>
                <w:sz w:val="22"/>
                <w:szCs w:val="22"/>
                <w:color w:val="auto"/>
              </w:rPr>
            </w:pPr>
          </w:p>
        </w:tc>
        <w:tc>
          <w:tcPr>
            <w:tcW w:w="100" w:type="dxa"/>
            <w:vAlign w:val="bottom"/>
            <w:tcBorders>
              <w:top w:val="single" w:sz="8" w:color="auto"/>
            </w:tcBorders>
            <w:shd w:val="clear" w:color="auto" w:fill="CCFFCC"/>
          </w:tcPr>
          <w:p>
            <w:pPr>
              <w:spacing w:after="0"/>
              <w:rPr>
                <w:sz w:val="22"/>
                <w:szCs w:val="22"/>
                <w:color w:val="auto"/>
              </w:rPr>
            </w:pPr>
          </w:p>
        </w:tc>
        <w:tc>
          <w:tcPr>
            <w:tcW w:w="6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top w:val="single" w:sz="8" w:color="CCFFCC"/>
            </w:tcBorders>
            <w:shd w:val="clear" w:color="auto" w:fill="CCFFCC"/>
          </w:tcPr>
          <w:p>
            <w:pPr>
              <w:spacing w:after="0"/>
              <w:rPr>
                <w:sz w:val="22"/>
                <w:szCs w:val="22"/>
                <w:color w:val="auto"/>
              </w:rPr>
            </w:pPr>
          </w:p>
        </w:tc>
        <w:tc>
          <w:tcPr>
            <w:tcW w:w="680" w:type="dxa"/>
            <w:vAlign w:val="bottom"/>
            <w:tcBorders>
              <w:top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rPr>
              <w:t>436,557</w:t>
            </w:r>
          </w:p>
        </w:tc>
        <w:tc>
          <w:tcPr>
            <w:tcW w:w="120" w:type="dxa"/>
            <w:vAlign w:val="bottom"/>
            <w:tcBorders>
              <w:top w:val="single" w:sz="8" w:color="CCFFCC"/>
            </w:tcBorders>
            <w:shd w:val="clear" w:color="auto" w:fill="CCFFCC"/>
          </w:tcPr>
          <w:p>
            <w:pPr>
              <w:spacing w:after="0"/>
              <w:rPr>
                <w:sz w:val="22"/>
                <w:szCs w:val="22"/>
                <w:color w:val="auto"/>
              </w:rPr>
            </w:pPr>
          </w:p>
        </w:tc>
        <w:tc>
          <w:tcPr>
            <w:tcW w:w="760" w:type="dxa"/>
            <w:vAlign w:val="bottom"/>
            <w:tcBorders>
              <w:top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rPr>
              <w:t>(283,562)</w:t>
            </w:r>
          </w:p>
        </w:tc>
        <w:tc>
          <w:tcPr>
            <w:tcW w:w="100" w:type="dxa"/>
            <w:vAlign w:val="bottom"/>
            <w:tcBorders>
              <w:top w:val="single" w:sz="8" w:color="CCFFCC"/>
            </w:tcBorders>
            <w:shd w:val="clear" w:color="auto" w:fill="CCFFCC"/>
          </w:tcPr>
          <w:p>
            <w:pPr>
              <w:spacing w:after="0"/>
              <w:rPr>
                <w:sz w:val="22"/>
                <w:szCs w:val="22"/>
                <w:color w:val="auto"/>
              </w:rPr>
            </w:pPr>
          </w:p>
        </w:tc>
        <w:tc>
          <w:tcPr>
            <w:tcW w:w="80" w:type="dxa"/>
            <w:vAlign w:val="bottom"/>
            <w:tcBorders>
              <w:top w:val="single" w:sz="8" w:color="auto"/>
            </w:tcBorders>
            <w:shd w:val="clear" w:color="auto" w:fill="CCFFCC"/>
          </w:tcPr>
          <w:p>
            <w:pPr>
              <w:spacing w:after="0"/>
              <w:rPr>
                <w:sz w:val="22"/>
                <w:szCs w:val="22"/>
                <w:color w:val="auto"/>
              </w:rPr>
            </w:pPr>
          </w:p>
        </w:tc>
        <w:tc>
          <w:tcPr>
            <w:tcW w:w="8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(4,524)</w:t>
            </w:r>
          </w:p>
        </w:tc>
        <w:tc>
          <w:tcPr>
            <w:tcW w:w="120" w:type="dxa"/>
            <w:vAlign w:val="bottom"/>
            <w:tcBorders>
              <w:top w:val="single" w:sz="8" w:color="CCFFCC"/>
            </w:tcBorders>
            <w:shd w:val="clear" w:color="auto" w:fill="CCFFCC"/>
          </w:tcPr>
          <w:p>
            <w:pPr>
              <w:spacing w:after="0"/>
              <w:rPr>
                <w:sz w:val="22"/>
                <w:szCs w:val="22"/>
                <w:color w:val="auto"/>
              </w:rPr>
            </w:pPr>
          </w:p>
        </w:tc>
        <w:tc>
          <w:tcPr>
            <w:tcW w:w="680" w:type="dxa"/>
            <w:vAlign w:val="bottom"/>
            <w:tcBorders>
              <w:top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rPr>
              <w:t>148,535</w:t>
            </w:r>
          </w:p>
        </w:tc>
        <w:tc>
          <w:tcPr>
            <w:tcW w:w="0" w:type="dxa"/>
            <w:vAlign w:val="bottom"/>
          </w:tcPr>
          <w:p>
            <w:pPr>
              <w:spacing w:after="0"/>
              <w:rPr>
                <w:sz w:val="1"/>
                <w:szCs w:val="1"/>
                <w:color w:val="auto"/>
              </w:rPr>
            </w:pPr>
          </w:p>
        </w:tc>
      </w:tr>
      <w:tr>
        <w:trPr>
          <w:trHeight w:val="262"/>
        </w:trPr>
        <w:tc>
          <w:tcPr>
            <w:tcW w:w="3560" w:type="dxa"/>
            <w:vAlign w:val="bottom"/>
          </w:tcPr>
          <w:p>
            <w:pPr>
              <w:ind w:left="280"/>
              <w:spacing w:after="0"/>
              <w:rPr>
                <w:sz w:val="20"/>
                <w:szCs w:val="20"/>
                <w:color w:val="auto"/>
              </w:rPr>
            </w:pPr>
            <w:r>
              <w:rPr>
                <w:rFonts w:ascii="Arial" w:cs="Arial" w:eastAsia="Arial" w:hAnsi="Arial"/>
                <w:sz w:val="13"/>
                <w:szCs w:val="13"/>
                <w:color w:val="auto"/>
              </w:rPr>
              <w:t>Common stock issued upon exercise of stock options</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199,215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1,955</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1,955</w:t>
            </w:r>
          </w:p>
        </w:tc>
        <w:tc>
          <w:tcPr>
            <w:tcW w:w="0" w:type="dxa"/>
            <w:vAlign w:val="bottom"/>
          </w:tcPr>
          <w:p>
            <w:pPr>
              <w:spacing w:after="0"/>
              <w:rPr>
                <w:sz w:val="1"/>
                <w:szCs w:val="1"/>
                <w:color w:val="auto"/>
              </w:rPr>
            </w:pPr>
          </w:p>
        </w:tc>
      </w:tr>
      <w:tr>
        <w:trPr>
          <w:trHeight w:val="278"/>
        </w:trPr>
        <w:tc>
          <w:tcPr>
            <w:tcW w:w="3560" w:type="dxa"/>
            <w:vAlign w:val="bottom"/>
            <w:shd w:val="clear" w:color="auto" w:fill="CCFFCC"/>
          </w:tcPr>
          <w:p>
            <w:pPr>
              <w:ind w:left="280"/>
              <w:spacing w:after="0"/>
              <w:rPr>
                <w:sz w:val="20"/>
                <w:szCs w:val="20"/>
                <w:color w:val="auto"/>
              </w:rPr>
            </w:pPr>
            <w:r>
              <w:rPr>
                <w:rFonts w:ascii="Arial" w:cs="Arial" w:eastAsia="Arial" w:hAnsi="Arial"/>
                <w:sz w:val="13"/>
                <w:szCs w:val="13"/>
                <w:color w:val="auto"/>
                <w:w w:val="95"/>
              </w:rPr>
              <w:t>Common stock issued upon vesting of restricted stock units</w:t>
            </w:r>
          </w:p>
        </w:tc>
        <w:tc>
          <w:tcPr>
            <w:tcW w:w="70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203,690</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24"/>
                <w:szCs w:val="24"/>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24"/>
                <w:szCs w:val="24"/>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560" w:type="dxa"/>
            <w:vAlign w:val="bottom"/>
          </w:tcPr>
          <w:p>
            <w:pPr>
              <w:ind w:left="280"/>
              <w:spacing w:after="0" w:line="148" w:lineRule="exact"/>
              <w:rPr>
                <w:sz w:val="20"/>
                <w:szCs w:val="20"/>
                <w:color w:val="auto"/>
              </w:rPr>
            </w:pPr>
            <w:r>
              <w:rPr>
                <w:rFonts w:ascii="Arial" w:cs="Arial" w:eastAsia="Arial" w:hAnsi="Arial"/>
                <w:sz w:val="13"/>
                <w:szCs w:val="13"/>
                <w:color w:val="auto"/>
              </w:rPr>
              <w:t>Common stock as earnout payment in connection with</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560" w:type="dxa"/>
            <w:vAlign w:val="bottom"/>
          </w:tcPr>
          <w:p>
            <w:pPr>
              <w:ind w:left="280"/>
              <w:spacing w:after="0"/>
              <w:rPr>
                <w:sz w:val="20"/>
                <w:szCs w:val="20"/>
                <w:color w:val="auto"/>
              </w:rPr>
            </w:pPr>
            <w:r>
              <w:rPr>
                <w:rFonts w:ascii="Arial" w:cs="Arial" w:eastAsia="Arial" w:hAnsi="Arial"/>
                <w:sz w:val="13"/>
                <w:szCs w:val="13"/>
                <w:color w:val="auto"/>
              </w:rPr>
              <w:t>AdvantageTec Inc.</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11,508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293</w:t>
            </w:r>
          </w:p>
        </w:tc>
        <w:tc>
          <w:tcPr>
            <w:tcW w:w="1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278"/>
        </w:trPr>
        <w:tc>
          <w:tcPr>
            <w:tcW w:w="3560" w:type="dxa"/>
            <w:vAlign w:val="bottom"/>
            <w:shd w:val="clear" w:color="auto" w:fill="CCFFCC"/>
          </w:tcPr>
          <w:p>
            <w:pPr>
              <w:ind w:left="280"/>
              <w:spacing w:after="0"/>
              <w:rPr>
                <w:sz w:val="20"/>
                <w:szCs w:val="20"/>
                <w:color w:val="auto"/>
              </w:rPr>
            </w:pPr>
            <w:r>
              <w:rPr>
                <w:rFonts w:ascii="Arial" w:cs="Arial" w:eastAsia="Arial" w:hAnsi="Arial"/>
                <w:sz w:val="13"/>
                <w:szCs w:val="13"/>
                <w:color w:val="auto"/>
              </w:rPr>
              <w:t>Stock-based compensation</w:t>
            </w:r>
          </w:p>
        </w:tc>
        <w:tc>
          <w:tcPr>
            <w:tcW w:w="8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24"/>
                <w:szCs w:val="24"/>
                <w:color w:val="auto"/>
              </w:rPr>
            </w:pPr>
          </w:p>
        </w:tc>
        <w:tc>
          <w:tcPr>
            <w:tcW w:w="7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24"/>
                <w:szCs w:val="24"/>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9,519</w:t>
            </w:r>
          </w:p>
        </w:tc>
        <w:tc>
          <w:tcPr>
            <w:tcW w:w="120" w:type="dxa"/>
            <w:vAlign w:val="bottom"/>
            <w:shd w:val="clear" w:color="auto" w:fill="CCFFCC"/>
          </w:tcPr>
          <w:p>
            <w:pPr>
              <w:spacing w:after="0"/>
              <w:rPr>
                <w:sz w:val="24"/>
                <w:szCs w:val="24"/>
                <w:color w:val="auto"/>
              </w:rPr>
            </w:pP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24"/>
                <w:szCs w:val="24"/>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9,519</w:t>
            </w:r>
          </w:p>
        </w:tc>
        <w:tc>
          <w:tcPr>
            <w:tcW w:w="0" w:type="dxa"/>
            <w:vAlign w:val="bottom"/>
          </w:tcPr>
          <w:p>
            <w:pPr>
              <w:spacing w:after="0"/>
              <w:rPr>
                <w:sz w:val="1"/>
                <w:szCs w:val="1"/>
                <w:color w:val="auto"/>
              </w:rPr>
            </w:pPr>
          </w:p>
        </w:tc>
      </w:tr>
      <w:tr>
        <w:trPr>
          <w:trHeight w:val="148"/>
        </w:trPr>
        <w:tc>
          <w:tcPr>
            <w:tcW w:w="3560" w:type="dxa"/>
            <w:vAlign w:val="bottom"/>
          </w:tcPr>
          <w:p>
            <w:pPr>
              <w:ind w:left="280"/>
              <w:spacing w:after="0" w:line="148" w:lineRule="exact"/>
              <w:rPr>
                <w:sz w:val="20"/>
                <w:szCs w:val="20"/>
                <w:color w:val="auto"/>
              </w:rPr>
            </w:pPr>
            <w:r>
              <w:rPr>
                <w:rFonts w:ascii="Arial" w:cs="Arial" w:eastAsia="Arial" w:hAnsi="Arial"/>
                <w:sz w:val="13"/>
                <w:szCs w:val="13"/>
                <w:color w:val="auto"/>
              </w:rPr>
              <w:t>Bonus cash payment settled in shares of the Company's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560" w:type="dxa"/>
            <w:vAlign w:val="bottom"/>
          </w:tcPr>
          <w:p>
            <w:pPr>
              <w:ind w:left="280"/>
              <w:spacing w:after="0"/>
              <w:rPr>
                <w:sz w:val="20"/>
                <w:szCs w:val="20"/>
                <w:color w:val="auto"/>
              </w:rPr>
            </w:pPr>
            <w:r>
              <w:rPr>
                <w:rFonts w:ascii="Arial" w:cs="Arial" w:eastAsia="Arial" w:hAnsi="Arial"/>
                <w:sz w:val="13"/>
                <w:szCs w:val="13"/>
                <w:color w:val="auto"/>
              </w:rPr>
              <w:t>common stock</w:t>
            </w: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color w:val="auto"/>
              </w:rPr>
              <w:t>991,905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24,656</w:t>
            </w:r>
          </w:p>
        </w:tc>
        <w:tc>
          <w:tcPr>
            <w:tcW w:w="120" w:type="dxa"/>
            <w:vAlign w:val="bottom"/>
          </w:tcPr>
          <w:p>
            <w:pPr>
              <w:spacing w:after="0"/>
              <w:rPr>
                <w:sz w:val="13"/>
                <w:szCs w:val="13"/>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24,656</w:t>
            </w:r>
          </w:p>
        </w:tc>
        <w:tc>
          <w:tcPr>
            <w:tcW w:w="0" w:type="dxa"/>
            <w:vAlign w:val="bottom"/>
          </w:tcPr>
          <w:p>
            <w:pPr>
              <w:spacing w:after="0"/>
              <w:rPr>
                <w:sz w:val="1"/>
                <w:szCs w:val="1"/>
                <w:color w:val="auto"/>
              </w:rPr>
            </w:pPr>
          </w:p>
        </w:tc>
      </w:tr>
      <w:tr>
        <w:trPr>
          <w:trHeight w:val="143"/>
        </w:trPr>
        <w:tc>
          <w:tcPr>
            <w:tcW w:w="35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3560" w:type="dxa"/>
            <w:vAlign w:val="bottom"/>
            <w:shd w:val="clear" w:color="auto" w:fill="CCFFCC"/>
          </w:tcPr>
          <w:p>
            <w:pPr>
              <w:ind w:left="280"/>
              <w:spacing w:after="0"/>
              <w:rPr>
                <w:sz w:val="20"/>
                <w:szCs w:val="20"/>
                <w:color w:val="auto"/>
              </w:rPr>
            </w:pPr>
            <w:r>
              <w:rPr>
                <w:rFonts w:ascii="Arial" w:cs="Arial" w:eastAsia="Arial" w:hAnsi="Arial"/>
                <w:sz w:val="13"/>
                <w:szCs w:val="13"/>
                <w:color w:val="auto"/>
              </w:rPr>
              <w:t>ASU 2016-13 (Topic 326) Adjustment (See note 1)</w:t>
            </w:r>
          </w:p>
        </w:tc>
        <w:tc>
          <w:tcPr>
            <w:tcW w:w="8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24"/>
                <w:szCs w:val="24"/>
                <w:color w:val="auto"/>
              </w:rPr>
            </w:pPr>
          </w:p>
        </w:tc>
        <w:tc>
          <w:tcPr>
            <w:tcW w:w="7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24"/>
                <w:szCs w:val="24"/>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(729)</w:t>
            </w: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(729)</w:t>
            </w:r>
          </w:p>
        </w:tc>
        <w:tc>
          <w:tcPr>
            <w:tcW w:w="0" w:type="dxa"/>
            <w:vAlign w:val="bottom"/>
          </w:tcPr>
          <w:p>
            <w:pPr>
              <w:spacing w:after="0"/>
              <w:rPr>
                <w:sz w:val="1"/>
                <w:szCs w:val="1"/>
                <w:color w:val="auto"/>
              </w:rPr>
            </w:pPr>
          </w:p>
        </w:tc>
      </w:tr>
      <w:tr>
        <w:trPr>
          <w:trHeight w:val="262"/>
        </w:trPr>
        <w:tc>
          <w:tcPr>
            <w:tcW w:w="3560" w:type="dxa"/>
            <w:vAlign w:val="bottom"/>
          </w:tcPr>
          <w:p>
            <w:pPr>
              <w:ind w:left="280"/>
              <w:spacing w:after="0"/>
              <w:rPr>
                <w:sz w:val="20"/>
                <w:szCs w:val="20"/>
                <w:color w:val="auto"/>
              </w:rPr>
            </w:pPr>
            <w:r>
              <w:rPr>
                <w:rFonts w:ascii="Arial" w:cs="Arial" w:eastAsia="Arial" w:hAnsi="Arial"/>
                <w:sz w:val="13"/>
                <w:szCs w:val="13"/>
                <w:color w:val="auto"/>
                <w:w w:val="93"/>
              </w:rPr>
              <w:t>Common stock issued under Employee Stock Purchase Plan</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50,818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1,626</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1,626</w:t>
            </w:r>
          </w:p>
        </w:tc>
        <w:tc>
          <w:tcPr>
            <w:tcW w:w="0" w:type="dxa"/>
            <w:vAlign w:val="bottom"/>
          </w:tcPr>
          <w:p>
            <w:pPr>
              <w:spacing w:after="0"/>
              <w:rPr>
                <w:sz w:val="1"/>
                <w:szCs w:val="1"/>
                <w:color w:val="auto"/>
              </w:rPr>
            </w:pPr>
          </w:p>
        </w:tc>
      </w:tr>
      <w:tr>
        <w:trPr>
          <w:trHeight w:val="278"/>
        </w:trPr>
        <w:tc>
          <w:tcPr>
            <w:tcW w:w="3560" w:type="dxa"/>
            <w:vAlign w:val="bottom"/>
            <w:shd w:val="clear" w:color="auto" w:fill="CCFFCC"/>
          </w:tcPr>
          <w:p>
            <w:pPr>
              <w:ind w:left="280"/>
              <w:spacing w:after="0"/>
              <w:rPr>
                <w:sz w:val="20"/>
                <w:szCs w:val="20"/>
                <w:color w:val="auto"/>
              </w:rPr>
            </w:pPr>
            <w:r>
              <w:rPr>
                <w:rFonts w:ascii="Arial" w:cs="Arial" w:eastAsia="Arial" w:hAnsi="Arial"/>
                <w:sz w:val="13"/>
                <w:szCs w:val="13"/>
                <w:color w:val="auto"/>
              </w:rPr>
              <w:t>Net loss</w:t>
            </w:r>
          </w:p>
        </w:tc>
        <w:tc>
          <w:tcPr>
            <w:tcW w:w="8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24"/>
                <w:szCs w:val="24"/>
                <w:color w:val="auto"/>
              </w:rPr>
            </w:pPr>
          </w:p>
        </w:tc>
        <w:tc>
          <w:tcPr>
            <w:tcW w:w="7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24"/>
                <w:szCs w:val="24"/>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(37,001)</w:t>
            </w: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(37,001)</w:t>
            </w:r>
          </w:p>
        </w:tc>
        <w:tc>
          <w:tcPr>
            <w:tcW w:w="0" w:type="dxa"/>
            <w:vAlign w:val="bottom"/>
          </w:tcPr>
          <w:p>
            <w:pPr>
              <w:spacing w:after="0"/>
              <w:rPr>
                <w:sz w:val="1"/>
                <w:szCs w:val="1"/>
                <w:color w:val="auto"/>
              </w:rPr>
            </w:pPr>
          </w:p>
        </w:tc>
      </w:tr>
      <w:tr>
        <w:trPr>
          <w:trHeight w:val="263"/>
        </w:trPr>
        <w:tc>
          <w:tcPr>
            <w:tcW w:w="3560" w:type="dxa"/>
            <w:vAlign w:val="bottom"/>
          </w:tcPr>
          <w:p>
            <w:pPr>
              <w:ind w:left="280"/>
              <w:spacing w:after="0"/>
              <w:rPr>
                <w:sz w:val="20"/>
                <w:szCs w:val="20"/>
                <w:color w:val="auto"/>
              </w:rPr>
            </w:pPr>
            <w:r>
              <w:rPr>
                <w:rFonts w:ascii="Arial" w:cs="Arial" w:eastAsia="Arial" w:hAnsi="Arial"/>
                <w:sz w:val="13"/>
                <w:szCs w:val="13"/>
                <w:color w:val="auto"/>
              </w:rPr>
              <w:t>Other comprehensive loss</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(2,469)</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(2,469)</w:t>
            </w:r>
          </w:p>
        </w:tc>
        <w:tc>
          <w:tcPr>
            <w:tcW w:w="0" w:type="dxa"/>
            <w:vAlign w:val="bottom"/>
          </w:tcPr>
          <w:p>
            <w:pPr>
              <w:spacing w:after="0"/>
              <w:rPr>
                <w:sz w:val="1"/>
                <w:szCs w:val="1"/>
                <w:color w:val="auto"/>
              </w:rPr>
            </w:pPr>
          </w:p>
        </w:tc>
      </w:tr>
      <w:tr>
        <w:trPr>
          <w:trHeight w:val="242"/>
        </w:trPr>
        <w:tc>
          <w:tcPr>
            <w:tcW w:w="35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3"/>
                <w:szCs w:val="13"/>
                <w:color w:val="auto"/>
              </w:rPr>
              <w:t>Balance at March 31, 2020</w:t>
            </w:r>
          </w:p>
        </w:tc>
        <w:tc>
          <w:tcPr>
            <w:tcW w:w="700" w:type="dxa"/>
            <w:vAlign w:val="bottom"/>
            <w:tcBorders>
              <w:top w:val="single" w:sz="8" w:color="auto"/>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w w:val="92"/>
              </w:rPr>
              <w:t>68,000,209</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FFCC"/>
          </w:tcPr>
          <w:p>
            <w:pPr>
              <w:jc w:val="right"/>
              <w:ind w:right="37"/>
              <w:spacing w:after="0"/>
              <w:rPr>
                <w:sz w:val="20"/>
                <w:szCs w:val="20"/>
                <w:color w:val="auto"/>
              </w:rPr>
            </w:pPr>
            <w:r>
              <w:rPr>
                <w:rFonts w:ascii="Arial" w:cs="Arial" w:eastAsia="Arial" w:hAnsi="Arial"/>
                <w:sz w:val="13"/>
                <w:szCs w:val="13"/>
                <w:color w:val="auto"/>
              </w:rPr>
              <w:t>68</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93"/>
              </w:rPr>
              <w:t>(2,709,830)</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680" w:type="dxa"/>
            <w:vAlign w:val="bottom"/>
            <w:tcBorders>
              <w:top w:val="single" w:sz="8" w:color="auto"/>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w w:val="94"/>
              </w:rPr>
              <w:t>$  474,606</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760" w:type="dxa"/>
            <w:vAlign w:val="bottom"/>
            <w:tcBorders>
              <w:top w:val="single" w:sz="8" w:color="auto"/>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w w:val="94"/>
              </w:rPr>
              <w:t>$  (321,292)</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(6,993)</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680" w:type="dxa"/>
            <w:vAlign w:val="bottom"/>
            <w:tcBorders>
              <w:top w:val="single" w:sz="8" w:color="auto"/>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w w:val="94"/>
              </w:rPr>
              <w:t>$  146,386</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20"/>
          </w:cols>
          <w:pgMar w:left="880" w:top="553" w:right="899" w:bottom="1440" w:gutter="0" w:footer="0" w:header="0"/>
        </w:sectPr>
      </w:pPr>
    </w:p>
    <w:bookmarkStart w:id="9" w:name="page10"/>
    <w:bookmarkEnd w:id="9"/>
    <w:p>
      <w:pPr>
        <w:jc w:val="center"/>
        <w:ind w:right="100"/>
        <w:spacing w:after="0"/>
        <w:rPr>
          <w:sz w:val="20"/>
          <w:szCs w:val="20"/>
          <w:color w:val="auto"/>
        </w:rPr>
      </w:pPr>
      <w:r>
        <w:rPr>
          <w:rFonts w:ascii="Arial" w:cs="Arial" w:eastAsia="Arial" w:hAnsi="Arial"/>
          <w:sz w:val="13"/>
          <w:szCs w:val="13"/>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63607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19685</wp:posOffset>
            </wp:positionV>
            <wp:extent cx="6429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b w:val="1"/>
                <w:bCs w:val="1"/>
                <w:color w:val="auto"/>
              </w:rPr>
              <w:t>Common Stock</w:t>
            </w:r>
          </w:p>
        </w:tc>
        <w:tc>
          <w:tcPr>
            <w:tcW w:w="1620" w:type="dxa"/>
            <w:vAlign w:val="bottom"/>
            <w:gridSpan w:val="5"/>
            <w:vMerge w:val="restart"/>
          </w:tcPr>
          <w:p>
            <w:pPr>
              <w:ind w:left="360"/>
              <w:spacing w:after="0"/>
              <w:rPr>
                <w:sz w:val="20"/>
                <w:szCs w:val="20"/>
                <w:color w:val="auto"/>
              </w:rPr>
            </w:pPr>
            <w:r>
              <w:rPr>
                <w:rFonts w:ascii="Arial" w:cs="Arial" w:eastAsia="Arial" w:hAnsi="Arial"/>
                <w:sz w:val="13"/>
                <w:szCs w:val="13"/>
                <w:b w:val="1"/>
                <w:bCs w:val="1"/>
                <w:color w:val="auto"/>
              </w:rPr>
              <w:t>Treasury Stock</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460" w:type="dxa"/>
            <w:vAlign w:val="bottom"/>
          </w:tcPr>
          <w:p>
            <w:pPr>
              <w:spacing w:after="0"/>
              <w:rPr>
                <w:sz w:val="12"/>
                <w:szCs w:val="12"/>
                <w:color w:val="auto"/>
              </w:rPr>
            </w:pPr>
          </w:p>
        </w:tc>
        <w:tc>
          <w:tcPr>
            <w:tcW w:w="1600" w:type="dxa"/>
            <w:vAlign w:val="bottom"/>
            <w:gridSpan w:val="5"/>
            <w:vMerge w:val="continue"/>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78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1"/>
              </w:rPr>
              <w:t>Additional</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0" w:lineRule="exact"/>
              <w:rPr>
                <w:sz w:val="20"/>
                <w:szCs w:val="20"/>
                <w:color w:val="auto"/>
              </w:rPr>
            </w:pPr>
            <w:r>
              <w:rPr>
                <w:rFonts w:ascii="Arial" w:cs="Arial" w:eastAsia="Arial" w:hAnsi="Arial"/>
                <w:sz w:val="13"/>
                <w:szCs w:val="13"/>
                <w:b w:val="1"/>
                <w:bCs w:val="1"/>
                <w:color w:val="auto"/>
                <w:w w:val="92"/>
              </w:rPr>
              <w:t>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4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9"/>
              </w:rPr>
              <w:t>Paid-in</w:t>
            </w:r>
          </w:p>
        </w:tc>
        <w:tc>
          <w:tcPr>
            <w:tcW w:w="88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2"/>
              </w:rPr>
              <w:t>Accumulated</w:t>
            </w:r>
          </w:p>
        </w:tc>
        <w:tc>
          <w:tcPr>
            <w:tcW w:w="980" w:type="dxa"/>
            <w:vAlign w:val="bottom"/>
            <w:gridSpan w:val="3"/>
          </w:tcPr>
          <w:p>
            <w:pPr>
              <w:jc w:val="center"/>
              <w:ind w:right="10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460" w:type="dxa"/>
            <w:vAlign w:val="bottom"/>
          </w:tcPr>
          <w:p>
            <w:pPr>
              <w:spacing w:after="0"/>
              <w:rPr>
                <w:sz w:val="15"/>
                <w:szCs w:val="15"/>
                <w:color w:val="auto"/>
              </w:rPr>
            </w:pP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Capital</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8"/>
              </w:rPr>
              <w:t>Loss</w:t>
            </w:r>
          </w:p>
        </w:tc>
        <w:tc>
          <w:tcPr>
            <w:tcW w:w="80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346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3"/>
                <w:szCs w:val="13"/>
                <w:color w:val="auto"/>
              </w:rPr>
              <w:t>Balance at December 31, 2018</w:t>
            </w:r>
          </w:p>
        </w:tc>
        <w:tc>
          <w:tcPr>
            <w:tcW w:w="700" w:type="dxa"/>
            <w:vAlign w:val="bottom"/>
            <w:tcBorders>
              <w:top w:val="single" w:sz="8" w:color="auto"/>
            </w:tcBorders>
            <w:shd w:val="clear" w:color="auto" w:fill="CCFFCC"/>
          </w:tcPr>
          <w:p>
            <w:pPr>
              <w:jc w:val="right"/>
              <w:ind w:right="37"/>
              <w:spacing w:after="0"/>
              <w:rPr>
                <w:sz w:val="20"/>
                <w:szCs w:val="20"/>
                <w:color w:val="auto"/>
              </w:rPr>
            </w:pPr>
            <w:r>
              <w:rPr>
                <w:rFonts w:ascii="Arial" w:cs="Arial" w:eastAsia="Arial" w:hAnsi="Arial"/>
                <w:sz w:val="13"/>
                <w:szCs w:val="13"/>
                <w:color w:val="auto"/>
                <w:w w:val="89"/>
              </w:rPr>
              <w:t>63,676,229</w:t>
            </w:r>
          </w:p>
        </w:tc>
        <w:tc>
          <w:tcPr>
            <w:tcW w:w="10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spacing w:after="0"/>
              <w:rPr>
                <w:sz w:val="22"/>
                <w:szCs w:val="22"/>
                <w:color w:val="auto"/>
              </w:rPr>
            </w:pPr>
          </w:p>
        </w:tc>
        <w:tc>
          <w:tcPr>
            <w:tcW w:w="580" w:type="dxa"/>
            <w:vAlign w:val="bottom"/>
            <w:tcBorders>
              <w:top w:val="single" w:sz="8" w:color="auto"/>
            </w:tcBorders>
            <w:shd w:val="clear" w:color="auto" w:fill="CCFFCC"/>
          </w:tcPr>
          <w:p>
            <w:pPr>
              <w:jc w:val="right"/>
              <w:ind w:right="37"/>
              <w:spacing w:after="0"/>
              <w:rPr>
                <w:sz w:val="20"/>
                <w:szCs w:val="20"/>
                <w:color w:val="auto"/>
              </w:rPr>
            </w:pPr>
            <w:r>
              <w:rPr>
                <w:rFonts w:ascii="Arial" w:cs="Arial" w:eastAsia="Arial" w:hAnsi="Arial"/>
                <w:sz w:val="13"/>
                <w:szCs w:val="13"/>
                <w:color w:val="auto"/>
              </w:rPr>
              <w:t>64</w:t>
            </w:r>
          </w:p>
        </w:tc>
        <w:tc>
          <w:tcPr>
            <w:tcW w:w="100" w:type="dxa"/>
            <w:vAlign w:val="bottom"/>
            <w:tcBorders>
              <w:top w:val="single" w:sz="8" w:color="CCFFCC"/>
            </w:tcBorders>
            <w:shd w:val="clear" w:color="auto" w:fill="CCFFCC"/>
          </w:tcPr>
          <w:p>
            <w:pPr>
              <w:spacing w:after="0"/>
              <w:rPr>
                <w:sz w:val="22"/>
                <w:szCs w:val="22"/>
                <w:color w:val="auto"/>
              </w:rPr>
            </w:pPr>
          </w:p>
        </w:tc>
        <w:tc>
          <w:tcPr>
            <w:tcW w:w="7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96"/>
              </w:rPr>
              <w:t>(2,681,285)</w:t>
            </w:r>
          </w:p>
        </w:tc>
        <w:tc>
          <w:tcPr>
            <w:tcW w:w="120" w:type="dxa"/>
            <w:vAlign w:val="bottom"/>
            <w:tcBorders>
              <w:top w:val="single" w:sz="8" w:color="CCFFCC"/>
            </w:tcBorders>
            <w:shd w:val="clear" w:color="auto" w:fill="CCFFCC"/>
          </w:tcPr>
          <w:p>
            <w:pPr>
              <w:spacing w:after="0"/>
              <w:rPr>
                <w:sz w:val="22"/>
                <w:szCs w:val="22"/>
                <w:color w:val="auto"/>
              </w:rPr>
            </w:pPr>
          </w:p>
        </w:tc>
        <w:tc>
          <w:tcPr>
            <w:tcW w:w="100" w:type="dxa"/>
            <w:vAlign w:val="bottom"/>
            <w:tcBorders>
              <w:top w:val="single" w:sz="8" w:color="auto"/>
            </w:tcBorders>
            <w:shd w:val="clear" w:color="auto" w:fill="CCFFCC"/>
          </w:tcPr>
          <w:p>
            <w:pPr>
              <w:spacing w:after="0"/>
              <w:rPr>
                <w:sz w:val="22"/>
                <w:szCs w:val="22"/>
                <w:color w:val="auto"/>
              </w:rPr>
            </w:pPr>
          </w:p>
        </w:tc>
        <w:tc>
          <w:tcPr>
            <w:tcW w:w="5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(3)</w:t>
            </w:r>
          </w:p>
        </w:tc>
        <w:tc>
          <w:tcPr>
            <w:tcW w:w="120" w:type="dxa"/>
            <w:vAlign w:val="bottom"/>
            <w:tcBorders>
              <w:top w:val="single" w:sz="8" w:color="CCFFCC"/>
            </w:tcBorders>
            <w:shd w:val="clear" w:color="auto" w:fill="CCFFCC"/>
          </w:tcPr>
          <w:p>
            <w:pPr>
              <w:spacing w:after="0"/>
              <w:rPr>
                <w:sz w:val="22"/>
                <w:szCs w:val="22"/>
                <w:color w:val="auto"/>
              </w:rPr>
            </w:pPr>
          </w:p>
        </w:tc>
        <w:tc>
          <w:tcPr>
            <w:tcW w:w="680" w:type="dxa"/>
            <w:vAlign w:val="bottom"/>
            <w:tcBorders>
              <w:top w:val="single" w:sz="8" w:color="auto"/>
            </w:tcBorders>
            <w:shd w:val="clear" w:color="auto" w:fill="CCFFCC"/>
          </w:tcPr>
          <w:p>
            <w:pPr>
              <w:jc w:val="right"/>
              <w:ind w:right="37"/>
              <w:spacing w:after="0"/>
              <w:rPr>
                <w:sz w:val="20"/>
                <w:szCs w:val="20"/>
                <w:color w:val="auto"/>
              </w:rPr>
            </w:pPr>
            <w:r>
              <w:rPr>
                <w:rFonts w:ascii="Arial" w:cs="Arial" w:eastAsia="Arial" w:hAnsi="Arial"/>
                <w:sz w:val="13"/>
                <w:szCs w:val="13"/>
                <w:color w:val="auto"/>
              </w:rPr>
              <w:t>362,590</w:t>
            </w:r>
          </w:p>
        </w:tc>
        <w:tc>
          <w:tcPr>
            <w:tcW w:w="100" w:type="dxa"/>
            <w:vAlign w:val="bottom"/>
            <w:tcBorders>
              <w:top w:val="single" w:sz="8" w:color="CCFFCC"/>
            </w:tcBorders>
            <w:shd w:val="clear" w:color="auto" w:fill="CCFFCC"/>
          </w:tcPr>
          <w:p>
            <w:pPr>
              <w:spacing w:after="0"/>
              <w:rPr>
                <w:sz w:val="22"/>
                <w:szCs w:val="22"/>
                <w:color w:val="auto"/>
              </w:rPr>
            </w:pPr>
          </w:p>
        </w:tc>
        <w:tc>
          <w:tcPr>
            <w:tcW w:w="7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(187,491)</w:t>
            </w:r>
          </w:p>
        </w:tc>
        <w:tc>
          <w:tcPr>
            <w:tcW w:w="120" w:type="dxa"/>
            <w:vAlign w:val="bottom"/>
            <w:tcBorders>
              <w:top w:val="single" w:sz="8" w:color="CCFFCC"/>
            </w:tcBorders>
            <w:shd w:val="clear" w:color="auto" w:fill="CCFFCC"/>
          </w:tcPr>
          <w:p>
            <w:pPr>
              <w:spacing w:after="0"/>
              <w:rPr>
                <w:sz w:val="22"/>
                <w:szCs w:val="22"/>
                <w:color w:val="auto"/>
              </w:rPr>
            </w:pPr>
          </w:p>
        </w:tc>
        <w:tc>
          <w:tcPr>
            <w:tcW w:w="80" w:type="dxa"/>
            <w:vAlign w:val="bottom"/>
            <w:tcBorders>
              <w:top w:val="single" w:sz="8" w:color="auto"/>
            </w:tcBorders>
            <w:shd w:val="clear" w:color="auto" w:fill="CCFFCC"/>
          </w:tcPr>
          <w:p>
            <w:pPr>
              <w:spacing w:after="0"/>
              <w:rPr>
                <w:sz w:val="22"/>
                <w:szCs w:val="22"/>
                <w:color w:val="auto"/>
              </w:rPr>
            </w:pPr>
          </w:p>
        </w:tc>
        <w:tc>
          <w:tcPr>
            <w:tcW w:w="8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(4,431)</w:t>
            </w:r>
          </w:p>
        </w:tc>
        <w:tc>
          <w:tcPr>
            <w:tcW w:w="100" w:type="dxa"/>
            <w:vAlign w:val="bottom"/>
            <w:tcBorders>
              <w:top w:val="single" w:sz="8" w:color="CCFFCC"/>
            </w:tcBorders>
            <w:shd w:val="clear" w:color="auto" w:fill="CCFFCC"/>
          </w:tcPr>
          <w:p>
            <w:pPr>
              <w:spacing w:after="0"/>
              <w:rPr>
                <w:sz w:val="22"/>
                <w:szCs w:val="22"/>
                <w:color w:val="auto"/>
              </w:rPr>
            </w:pPr>
          </w:p>
        </w:tc>
        <w:tc>
          <w:tcPr>
            <w:tcW w:w="700" w:type="dxa"/>
            <w:vAlign w:val="bottom"/>
            <w:tcBorders>
              <w:top w:val="single" w:sz="8" w:color="auto"/>
            </w:tcBorders>
            <w:shd w:val="clear" w:color="auto" w:fill="CCFFCC"/>
          </w:tcPr>
          <w:p>
            <w:pPr>
              <w:jc w:val="right"/>
              <w:ind w:right="37"/>
              <w:spacing w:after="0"/>
              <w:rPr>
                <w:sz w:val="20"/>
                <w:szCs w:val="20"/>
                <w:color w:val="auto"/>
              </w:rPr>
            </w:pPr>
            <w:r>
              <w:rPr>
                <w:rFonts w:ascii="Arial" w:cs="Arial" w:eastAsia="Arial" w:hAnsi="Arial"/>
                <w:sz w:val="13"/>
                <w:szCs w:val="13"/>
                <w:color w:val="auto"/>
              </w:rPr>
              <w:t>170,729</w:t>
            </w:r>
          </w:p>
        </w:tc>
        <w:tc>
          <w:tcPr>
            <w:tcW w:w="100" w:type="dxa"/>
            <w:vAlign w:val="bottom"/>
            <w:tcBorders>
              <w:top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460" w:type="dxa"/>
            <w:vAlign w:val="bottom"/>
          </w:tcPr>
          <w:p>
            <w:pPr>
              <w:ind w:left="280"/>
              <w:spacing w:after="0"/>
              <w:rPr>
                <w:sz w:val="20"/>
                <w:szCs w:val="20"/>
                <w:color w:val="auto"/>
              </w:rPr>
            </w:pPr>
            <w:r>
              <w:rPr>
                <w:rFonts w:ascii="Arial" w:cs="Arial" w:eastAsia="Arial" w:hAnsi="Arial"/>
                <w:sz w:val="13"/>
                <w:szCs w:val="13"/>
                <w:color w:val="auto"/>
              </w:rPr>
              <w:t>Common stock issued upon exercise of stock options</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626,478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6,476</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6,477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460" w:type="dxa"/>
            <w:vAlign w:val="bottom"/>
            <w:shd w:val="clear" w:color="auto" w:fill="CCFFCC"/>
          </w:tcPr>
          <w:p>
            <w:pPr>
              <w:ind w:left="280"/>
              <w:spacing w:after="0"/>
              <w:rPr>
                <w:sz w:val="20"/>
                <w:szCs w:val="20"/>
                <w:color w:val="auto"/>
              </w:rPr>
            </w:pPr>
            <w:r>
              <w:rPr>
                <w:rFonts w:ascii="Arial" w:cs="Arial" w:eastAsia="Arial" w:hAnsi="Arial"/>
                <w:sz w:val="13"/>
                <w:szCs w:val="13"/>
                <w:color w:val="auto"/>
                <w:w w:val="92"/>
              </w:rPr>
              <w:t>Common stock issued upon vesting of restricted stock units</w:t>
            </w:r>
          </w:p>
        </w:tc>
        <w:tc>
          <w:tcPr>
            <w:tcW w:w="70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414,742</w:t>
            </w:r>
          </w:p>
        </w:tc>
        <w:tc>
          <w:tcPr>
            <w:tcW w:w="1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24"/>
                <w:szCs w:val="24"/>
                <w:color w:val="auto"/>
              </w:rPr>
            </w:pPr>
          </w:p>
        </w:tc>
        <w:tc>
          <w:tcPr>
            <w:tcW w:w="7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24"/>
                <w:szCs w:val="24"/>
                <w:color w:val="auto"/>
              </w:rPr>
            </w:pP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460" w:type="dxa"/>
            <w:vAlign w:val="bottom"/>
          </w:tcPr>
          <w:p>
            <w:pPr>
              <w:ind w:left="280"/>
              <w:spacing w:after="0"/>
              <w:rPr>
                <w:sz w:val="20"/>
                <w:szCs w:val="20"/>
                <w:color w:val="auto"/>
              </w:rPr>
            </w:pPr>
            <w:r>
              <w:rPr>
                <w:rFonts w:ascii="Arial" w:cs="Arial" w:eastAsia="Arial" w:hAnsi="Arial"/>
                <w:sz w:val="13"/>
                <w:szCs w:val="13"/>
                <w:color w:val="auto"/>
              </w:rPr>
              <w:t>Stock-based compensation</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5,188</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5,188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460" w:type="dxa"/>
            <w:vAlign w:val="bottom"/>
            <w:shd w:val="clear" w:color="auto" w:fill="CCFFCC"/>
          </w:tcPr>
          <w:p>
            <w:pPr>
              <w:ind w:left="280"/>
              <w:spacing w:after="0"/>
              <w:rPr>
                <w:sz w:val="20"/>
                <w:szCs w:val="20"/>
                <w:color w:val="auto"/>
              </w:rPr>
            </w:pPr>
            <w:r>
              <w:rPr>
                <w:rFonts w:ascii="Arial" w:cs="Arial" w:eastAsia="Arial" w:hAnsi="Arial"/>
                <w:sz w:val="13"/>
                <w:szCs w:val="13"/>
                <w:color w:val="auto"/>
                <w:w w:val="90"/>
              </w:rPr>
              <w:t>Common stock issued under Employee Stock Purchase Plan</w:t>
            </w:r>
          </w:p>
        </w:tc>
        <w:tc>
          <w:tcPr>
            <w:tcW w:w="70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30,349</w:t>
            </w:r>
          </w:p>
        </w:tc>
        <w:tc>
          <w:tcPr>
            <w:tcW w:w="1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24"/>
                <w:szCs w:val="24"/>
                <w:color w:val="auto"/>
              </w:rPr>
            </w:pPr>
          </w:p>
        </w:tc>
        <w:tc>
          <w:tcPr>
            <w:tcW w:w="7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721</w:t>
            </w:r>
          </w:p>
        </w:tc>
        <w:tc>
          <w:tcPr>
            <w:tcW w:w="100" w:type="dxa"/>
            <w:vAlign w:val="bottom"/>
            <w:shd w:val="clear" w:color="auto" w:fill="CCFFCC"/>
          </w:tcPr>
          <w:p>
            <w:pPr>
              <w:spacing w:after="0"/>
              <w:rPr>
                <w:sz w:val="24"/>
                <w:szCs w:val="2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24"/>
                <w:szCs w:val="24"/>
                <w:color w:val="auto"/>
              </w:rPr>
            </w:pP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721</w:t>
            </w:r>
          </w:p>
        </w:tc>
        <w:tc>
          <w:tcPr>
            <w:tcW w:w="10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460" w:type="dxa"/>
            <w:vAlign w:val="bottom"/>
          </w:tcPr>
          <w:p>
            <w:pPr>
              <w:ind w:left="280"/>
              <w:spacing w:after="0"/>
              <w:rPr>
                <w:sz w:val="20"/>
                <w:szCs w:val="20"/>
                <w:color w:val="auto"/>
              </w:rPr>
            </w:pPr>
            <w:r>
              <w:rPr>
                <w:rFonts w:ascii="Arial" w:cs="Arial" w:eastAsia="Arial" w:hAnsi="Arial"/>
                <w:sz w:val="13"/>
                <w:szCs w:val="13"/>
                <w:color w:val="auto"/>
              </w:rPr>
              <w:t>Common stock repurchase</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(23,421)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(709)</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(709)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460" w:type="dxa"/>
            <w:vAlign w:val="bottom"/>
            <w:shd w:val="clear" w:color="auto" w:fill="CCFFCC"/>
          </w:tcPr>
          <w:p>
            <w:pPr>
              <w:ind w:left="280"/>
              <w:spacing w:after="0"/>
              <w:rPr>
                <w:sz w:val="20"/>
                <w:szCs w:val="20"/>
                <w:color w:val="auto"/>
              </w:rPr>
            </w:pPr>
            <w:r>
              <w:rPr>
                <w:rFonts w:ascii="Arial" w:cs="Arial" w:eastAsia="Arial" w:hAnsi="Arial"/>
                <w:sz w:val="13"/>
                <w:szCs w:val="13"/>
                <w:color w:val="auto"/>
              </w:rPr>
              <w:t>Equity component of convertible senior notes</w:t>
            </w: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24"/>
                <w:szCs w:val="24"/>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24"/>
                <w:szCs w:val="24"/>
                <w:color w:val="auto"/>
              </w:rPr>
            </w:pPr>
          </w:p>
        </w:tc>
        <w:tc>
          <w:tcPr>
            <w:tcW w:w="7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52,900</w:t>
            </w:r>
          </w:p>
        </w:tc>
        <w:tc>
          <w:tcPr>
            <w:tcW w:w="100" w:type="dxa"/>
            <w:vAlign w:val="bottom"/>
            <w:shd w:val="clear" w:color="auto" w:fill="CCFFCC"/>
          </w:tcPr>
          <w:p>
            <w:pPr>
              <w:spacing w:after="0"/>
              <w:rPr>
                <w:sz w:val="24"/>
                <w:szCs w:val="2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24"/>
                <w:szCs w:val="24"/>
                <w:color w:val="auto"/>
              </w:rPr>
            </w:pP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52,900</w:t>
            </w:r>
          </w:p>
        </w:tc>
        <w:tc>
          <w:tcPr>
            <w:tcW w:w="10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460" w:type="dxa"/>
            <w:vAlign w:val="bottom"/>
          </w:tcPr>
          <w:p>
            <w:pPr>
              <w:ind w:left="280"/>
              <w:spacing w:after="0"/>
              <w:rPr>
                <w:sz w:val="20"/>
                <w:szCs w:val="20"/>
                <w:color w:val="auto"/>
              </w:rPr>
            </w:pPr>
            <w:r>
              <w:rPr>
                <w:rFonts w:ascii="Arial" w:cs="Arial" w:eastAsia="Arial" w:hAnsi="Arial"/>
                <w:sz w:val="13"/>
                <w:szCs w:val="13"/>
                <w:color w:val="auto"/>
                <w:w w:val="90"/>
              </w:rPr>
              <w:t>Equity component of convertible senior notes issuance costs</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(1,986)</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(1,986)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460" w:type="dxa"/>
            <w:vAlign w:val="bottom"/>
            <w:shd w:val="clear" w:color="auto" w:fill="CCFFCC"/>
          </w:tcPr>
          <w:p>
            <w:pPr>
              <w:ind w:left="280"/>
              <w:spacing w:after="0"/>
              <w:rPr>
                <w:sz w:val="20"/>
                <w:szCs w:val="20"/>
                <w:color w:val="auto"/>
              </w:rPr>
            </w:pPr>
            <w:r>
              <w:rPr>
                <w:rFonts w:ascii="Arial" w:cs="Arial" w:eastAsia="Arial" w:hAnsi="Arial"/>
                <w:sz w:val="13"/>
                <w:szCs w:val="13"/>
                <w:color w:val="auto"/>
              </w:rPr>
              <w:t>Purchase of capped call option</w:t>
            </w: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24"/>
                <w:szCs w:val="24"/>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24"/>
                <w:szCs w:val="24"/>
                <w:color w:val="auto"/>
              </w:rPr>
            </w:pPr>
          </w:p>
        </w:tc>
        <w:tc>
          <w:tcPr>
            <w:tcW w:w="7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(23,184)</w:t>
            </w:r>
          </w:p>
        </w:tc>
        <w:tc>
          <w:tcPr>
            <w:tcW w:w="100" w:type="dxa"/>
            <w:vAlign w:val="bottom"/>
            <w:shd w:val="clear" w:color="auto" w:fill="CCFFCC"/>
          </w:tcPr>
          <w:p>
            <w:pPr>
              <w:spacing w:after="0"/>
              <w:rPr>
                <w:sz w:val="24"/>
                <w:szCs w:val="24"/>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24"/>
                <w:szCs w:val="24"/>
                <w:color w:val="auto"/>
              </w:rPr>
            </w:pP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(23,184)</w:t>
            </w:r>
          </w:p>
        </w:tc>
        <w:tc>
          <w:tcPr>
            <w:tcW w:w="10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460" w:type="dxa"/>
            <w:vAlign w:val="bottom"/>
          </w:tcPr>
          <w:p>
            <w:pPr>
              <w:ind w:left="280"/>
              <w:spacing w:after="0"/>
              <w:rPr>
                <w:sz w:val="20"/>
                <w:szCs w:val="20"/>
                <w:color w:val="auto"/>
              </w:rPr>
            </w:pPr>
            <w:r>
              <w:rPr>
                <w:rFonts w:ascii="Arial" w:cs="Arial" w:eastAsia="Arial" w:hAnsi="Arial"/>
                <w:sz w:val="13"/>
                <w:szCs w:val="13"/>
                <w:color w:val="auto"/>
              </w:rPr>
              <w:t>Net loss</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(18,890)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(18,890)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460" w:type="dxa"/>
            <w:vAlign w:val="bottom"/>
            <w:shd w:val="clear" w:color="auto" w:fill="CCFFCC"/>
          </w:tcPr>
          <w:p>
            <w:pPr>
              <w:ind w:left="280"/>
              <w:spacing w:after="0"/>
              <w:rPr>
                <w:sz w:val="20"/>
                <w:szCs w:val="20"/>
                <w:color w:val="auto"/>
              </w:rPr>
            </w:pPr>
            <w:r>
              <w:rPr>
                <w:rFonts w:ascii="Arial" w:cs="Arial" w:eastAsia="Arial" w:hAnsi="Arial"/>
                <w:sz w:val="13"/>
                <w:szCs w:val="13"/>
                <w:color w:val="auto"/>
              </w:rPr>
              <w:t>Other comprehensive loss</w:t>
            </w: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23"/>
                <w:szCs w:val="23"/>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23"/>
                <w:szCs w:val="23"/>
                <w:color w:val="auto"/>
              </w:rPr>
            </w:pPr>
          </w:p>
        </w:tc>
        <w:tc>
          <w:tcPr>
            <w:tcW w:w="7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23"/>
                <w:szCs w:val="23"/>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(207)</w:t>
            </w:r>
          </w:p>
        </w:tc>
        <w:tc>
          <w:tcPr>
            <w:tcW w:w="100" w:type="dxa"/>
            <w:vAlign w:val="bottom"/>
            <w:shd w:val="clear" w:color="auto" w:fill="CCFFCC"/>
          </w:tcPr>
          <w:p>
            <w:pPr>
              <w:spacing w:after="0"/>
              <w:rPr>
                <w:sz w:val="23"/>
                <w:szCs w:val="23"/>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(207)</w:t>
            </w:r>
          </w:p>
        </w:tc>
        <w:tc>
          <w:tcPr>
            <w:tcW w:w="10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460" w:type="dxa"/>
            <w:vAlign w:val="bottom"/>
          </w:tcPr>
          <w:p>
            <w:pPr>
              <w:ind w:left="20"/>
              <w:spacing w:after="0"/>
              <w:rPr>
                <w:sz w:val="20"/>
                <w:szCs w:val="20"/>
                <w:color w:val="auto"/>
              </w:rPr>
            </w:pPr>
            <w:r>
              <w:rPr>
                <w:rFonts w:ascii="Arial" w:cs="Arial" w:eastAsia="Arial" w:hAnsi="Arial"/>
                <w:sz w:val="13"/>
                <w:szCs w:val="13"/>
                <w:color w:val="auto"/>
              </w:rPr>
              <w:t>Balance at March 31, 2019</w:t>
            </w:r>
          </w:p>
        </w:tc>
        <w:tc>
          <w:tcPr>
            <w:tcW w:w="7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64,747,798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(2,704,706)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91"/>
              </w:rPr>
              <w:t>$  401,996</w:t>
            </w:r>
          </w:p>
        </w:tc>
        <w:tc>
          <w:tcPr>
            <w:tcW w:w="10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  (206,381)</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(4,638)</w:t>
            </w:r>
          </w:p>
        </w:tc>
        <w:tc>
          <w:tcPr>
            <w:tcW w:w="10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94"/>
              </w:rPr>
              <w:t>$  191,039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20"/>
          </w:cols>
          <w:pgMar w:left="880" w:top="796" w:right="89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spacing w:after="0" w:line="119" w:lineRule="exact"/>
        <w:rPr>
          <w:sz w:val="20"/>
          <w:szCs w:val="20"/>
          <w:color w:val="auto"/>
        </w:rPr>
      </w:pPr>
    </w:p>
    <w:p>
      <w:pPr>
        <w:ind w:left="9440"/>
        <w:spacing w:after="0"/>
        <w:rPr>
          <w:sz w:val="20"/>
          <w:szCs w:val="20"/>
          <w:color w:val="auto"/>
        </w:rPr>
      </w:pPr>
      <w:r>
        <w:rPr>
          <w:rFonts w:ascii="Arial" w:cs="Arial" w:eastAsia="Arial" w:hAnsi="Arial"/>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1920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0" w:type="dxa"/>
            <w:vAlign w:val="bottom"/>
            <w:tcBorders>
              <w:bottom w:val="single" w:sz="8" w:color="CCFFC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56"/>
        </w:trPr>
        <w:tc>
          <w:tcPr>
            <w:tcW w:w="8200" w:type="dxa"/>
            <w:vAlign w:val="bottom"/>
            <w:shd w:val="clear" w:color="auto" w:fill="CCFFCC"/>
          </w:tcPr>
          <w:p>
            <w:pPr>
              <w:ind w:left="40"/>
              <w:spacing w:after="0"/>
              <w:rPr>
                <w:sz w:val="20"/>
                <w:szCs w:val="20"/>
                <w:color w:val="auto"/>
              </w:rPr>
            </w:pPr>
            <w:r>
              <w:rPr>
                <w:rFonts w:ascii="Arial" w:cs="Arial" w:eastAsia="Arial" w:hAnsi="Arial"/>
                <w:sz w:val="14"/>
                <w:szCs w:val="14"/>
                <w:color w:val="auto"/>
              </w:rPr>
              <w:t>OPERATING ACTIVITIES:</w:t>
            </w:r>
          </w:p>
        </w:tc>
        <w:tc>
          <w:tcPr>
            <w:tcW w:w="36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200" w:type="dxa"/>
            <w:vAlign w:val="bottom"/>
          </w:tcPr>
          <w:p>
            <w:pPr>
              <w:ind w:left="4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(37,001)</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(18,890)</w:t>
            </w:r>
          </w:p>
        </w:tc>
        <w:tc>
          <w:tcPr>
            <w:tcW w:w="0" w:type="dxa"/>
            <w:vAlign w:val="bottom"/>
          </w:tcPr>
          <w:p>
            <w:pPr>
              <w:spacing w:after="0"/>
              <w:rPr>
                <w:sz w:val="1"/>
                <w:szCs w:val="1"/>
                <w:color w:val="auto"/>
              </w:rPr>
            </w:pPr>
          </w:p>
        </w:tc>
      </w:tr>
      <w:tr>
        <w:trPr>
          <w:trHeight w:val="276"/>
        </w:trPr>
        <w:tc>
          <w:tcPr>
            <w:tcW w:w="820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36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0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0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14,695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7,166</w:t>
            </w:r>
          </w:p>
        </w:tc>
        <w:tc>
          <w:tcPr>
            <w:tcW w:w="0" w:type="dxa"/>
            <w:vAlign w:val="bottom"/>
          </w:tcPr>
          <w:p>
            <w:pPr>
              <w:spacing w:after="0"/>
              <w:rPr>
                <w:sz w:val="1"/>
                <w:szCs w:val="1"/>
                <w:color w:val="auto"/>
              </w:rPr>
            </w:pPr>
          </w:p>
        </w:tc>
      </w:tr>
      <w:tr>
        <w:trPr>
          <w:trHeight w:val="276"/>
        </w:trPr>
        <w:tc>
          <w:tcPr>
            <w:tcW w:w="820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Depreciation and amortization</w:t>
            </w:r>
          </w:p>
        </w:tc>
        <w:tc>
          <w:tcPr>
            <w:tcW w:w="36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5,538</w:t>
            </w: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3,881</w:t>
            </w:r>
          </w:p>
        </w:tc>
        <w:tc>
          <w:tcPr>
            <w:tcW w:w="0" w:type="dxa"/>
            <w:vAlign w:val="bottom"/>
          </w:tcPr>
          <w:p>
            <w:pPr>
              <w:spacing w:after="0"/>
              <w:rPr>
                <w:sz w:val="1"/>
                <w:szCs w:val="1"/>
                <w:color w:val="auto"/>
              </w:rPr>
            </w:pPr>
          </w:p>
        </w:tc>
      </w:tr>
      <w:tr>
        <w:trPr>
          <w:trHeight w:val="264"/>
        </w:trPr>
        <w:tc>
          <w:tcPr>
            <w:tcW w:w="8200" w:type="dxa"/>
            <w:vAlign w:val="bottom"/>
          </w:tcPr>
          <w:p>
            <w:pPr>
              <w:ind w:left="180"/>
              <w:spacing w:after="0"/>
              <w:rPr>
                <w:sz w:val="20"/>
                <w:szCs w:val="20"/>
                <w:color w:val="auto"/>
              </w:rPr>
            </w:pPr>
            <w:r>
              <w:rPr>
                <w:rFonts w:ascii="Arial" w:cs="Arial" w:eastAsia="Arial" w:hAnsi="Arial"/>
                <w:sz w:val="14"/>
                <w:szCs w:val="14"/>
                <w:color w:val="auto"/>
              </w:rPr>
              <w:t>Amortization of tenant allowance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76"/>
        </w:trPr>
        <w:tc>
          <w:tcPr>
            <w:tcW w:w="820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Amortization of purchased intangibles</w:t>
            </w:r>
          </w:p>
        </w:tc>
        <w:tc>
          <w:tcPr>
            <w:tcW w:w="36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264"/>
        </w:trPr>
        <w:tc>
          <w:tcPr>
            <w:tcW w:w="8200" w:type="dxa"/>
            <w:vAlign w:val="bottom"/>
          </w:tcPr>
          <w:p>
            <w:pPr>
              <w:ind w:left="18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76"/>
        </w:trPr>
        <w:tc>
          <w:tcPr>
            <w:tcW w:w="820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Accretion of debt discount on convertible senior notes</w:t>
            </w:r>
          </w:p>
        </w:tc>
        <w:tc>
          <w:tcPr>
            <w:tcW w:w="36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2,368</w:t>
            </w: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264"/>
        </w:trPr>
        <w:tc>
          <w:tcPr>
            <w:tcW w:w="8200" w:type="dxa"/>
            <w:vAlign w:val="bottom"/>
          </w:tcPr>
          <w:p>
            <w:pPr>
              <w:ind w:left="180"/>
              <w:spacing w:after="0"/>
              <w:rPr>
                <w:sz w:val="20"/>
                <w:szCs w:val="20"/>
                <w:color w:val="auto"/>
              </w:rPr>
            </w:pPr>
            <w:r>
              <w:rPr>
                <w:rFonts w:ascii="Arial" w:cs="Arial" w:eastAsia="Arial" w:hAnsi="Arial"/>
                <w:sz w:val="14"/>
                <w:szCs w:val="14"/>
                <w:color w:val="auto"/>
              </w:rPr>
              <w:t>Changes in fair value of contingent consideration</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0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Provision for doubtful accounts</w:t>
            </w:r>
          </w:p>
        </w:tc>
        <w:tc>
          <w:tcPr>
            <w:tcW w:w="36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64"/>
        </w:trPr>
        <w:tc>
          <w:tcPr>
            <w:tcW w:w="820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90"/>
        </w:trPr>
        <w:tc>
          <w:tcPr>
            <w:tcW w:w="820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0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0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24,112</w:t>
            </w: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(5,763)</w:t>
            </w:r>
          </w:p>
        </w:tc>
        <w:tc>
          <w:tcPr>
            <w:tcW w:w="0" w:type="dxa"/>
            <w:vAlign w:val="bottom"/>
          </w:tcPr>
          <w:p>
            <w:pPr>
              <w:spacing w:after="0"/>
              <w:rPr>
                <w:sz w:val="1"/>
                <w:szCs w:val="1"/>
                <w:color w:val="auto"/>
              </w:rPr>
            </w:pPr>
          </w:p>
        </w:tc>
      </w:tr>
      <w:tr>
        <w:trPr>
          <w:trHeight w:val="264"/>
        </w:trPr>
        <w:tc>
          <w:tcPr>
            <w:tcW w:w="8200" w:type="dxa"/>
            <w:vAlign w:val="bottom"/>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(3,852)</w:t>
            </w:r>
          </w:p>
        </w:tc>
        <w:tc>
          <w:tcPr>
            <w:tcW w:w="0" w:type="dxa"/>
            <w:vAlign w:val="bottom"/>
          </w:tcPr>
          <w:p>
            <w:pPr>
              <w:spacing w:after="0"/>
              <w:rPr>
                <w:sz w:val="1"/>
                <w:szCs w:val="1"/>
                <w:color w:val="auto"/>
              </w:rPr>
            </w:pPr>
          </w:p>
        </w:tc>
      </w:tr>
      <w:tr>
        <w:trPr>
          <w:trHeight w:val="276"/>
        </w:trPr>
        <w:tc>
          <w:tcPr>
            <w:tcW w:w="82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Contract acquisition costs noncurrent</w:t>
            </w:r>
          </w:p>
        </w:tc>
        <w:tc>
          <w:tcPr>
            <w:tcW w:w="36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(2,445)</w:t>
            </w: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(2,825)</w:t>
            </w:r>
          </w:p>
        </w:tc>
        <w:tc>
          <w:tcPr>
            <w:tcW w:w="0" w:type="dxa"/>
            <w:vAlign w:val="bottom"/>
          </w:tcPr>
          <w:p>
            <w:pPr>
              <w:spacing w:after="0"/>
              <w:rPr>
                <w:sz w:val="1"/>
                <w:szCs w:val="1"/>
                <w:color w:val="auto"/>
              </w:rPr>
            </w:pPr>
          </w:p>
        </w:tc>
      </w:tr>
      <w:tr>
        <w:trPr>
          <w:trHeight w:val="264"/>
        </w:trPr>
        <w:tc>
          <w:tcPr>
            <w:tcW w:w="8200" w:type="dxa"/>
            <w:vAlign w:val="bottom"/>
          </w:tcPr>
          <w:p>
            <w:pPr>
              <w:ind w:left="380"/>
              <w:spacing w:after="0"/>
              <w:rPr>
                <w:sz w:val="20"/>
                <w:szCs w:val="20"/>
                <w:color w:val="auto"/>
              </w:rPr>
            </w:pPr>
            <w:r>
              <w:rPr>
                <w:rFonts w:ascii="Arial" w:cs="Arial" w:eastAsia="Arial" w:hAnsi="Arial"/>
                <w:sz w:val="14"/>
                <w:szCs w:val="14"/>
                <w:color w:val="auto"/>
              </w:rPr>
              <w:t>Security deposits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Other assets</w:t>
            </w:r>
          </w:p>
        </w:tc>
        <w:tc>
          <w:tcPr>
            <w:tcW w:w="36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64"/>
        </w:trPr>
        <w:tc>
          <w:tcPr>
            <w:tcW w:w="820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276"/>
        </w:trPr>
        <w:tc>
          <w:tcPr>
            <w:tcW w:w="82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2,987</w:t>
            </w: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(17,932)</w:t>
            </w:r>
          </w:p>
        </w:tc>
        <w:tc>
          <w:tcPr>
            <w:tcW w:w="0" w:type="dxa"/>
            <w:vAlign w:val="bottom"/>
          </w:tcPr>
          <w:p>
            <w:pPr>
              <w:spacing w:after="0"/>
              <w:rPr>
                <w:sz w:val="1"/>
                <w:szCs w:val="1"/>
                <w:color w:val="auto"/>
              </w:rPr>
            </w:pPr>
          </w:p>
        </w:tc>
      </w:tr>
      <w:tr>
        <w:trPr>
          <w:trHeight w:val="264"/>
        </w:trPr>
        <w:tc>
          <w:tcPr>
            <w:tcW w:w="820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11,150</w:t>
            </w:r>
          </w:p>
        </w:tc>
        <w:tc>
          <w:tcPr>
            <w:tcW w:w="0" w:type="dxa"/>
            <w:vAlign w:val="bottom"/>
          </w:tcPr>
          <w:p>
            <w:pPr>
              <w:spacing w:after="0"/>
              <w:rPr>
                <w:sz w:val="1"/>
                <w:szCs w:val="1"/>
                <w:color w:val="auto"/>
              </w:rPr>
            </w:pPr>
          </w:p>
        </w:tc>
      </w:tr>
      <w:tr>
        <w:trPr>
          <w:trHeight w:val="197"/>
        </w:trPr>
        <w:tc>
          <w:tcPr>
            <w:tcW w:w="82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Increase in operating lease liabilities</w:t>
            </w:r>
          </w:p>
        </w:tc>
        <w:tc>
          <w:tcPr>
            <w:tcW w:w="360" w:type="dxa"/>
            <w:vAlign w:val="bottom"/>
            <w:shd w:val="clear" w:color="auto" w:fill="CCFFCC"/>
          </w:tcPr>
          <w:p>
            <w:pPr>
              <w:spacing w:after="0"/>
              <w:rPr>
                <w:sz w:val="17"/>
                <w:szCs w:val="17"/>
                <w:color w:val="auto"/>
              </w:rPr>
            </w:pPr>
          </w:p>
        </w:tc>
        <w:tc>
          <w:tcPr>
            <w:tcW w:w="1120" w:type="dxa"/>
            <w:vAlign w:val="bottom"/>
            <w:vMerge w:val="restart"/>
            <w:shd w:val="clear" w:color="auto" w:fill="CCFFCC"/>
          </w:tcPr>
          <w:p>
            <w:pPr>
              <w:jc w:val="right"/>
              <w:ind w:right="48"/>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100" w:type="dxa"/>
            <w:vAlign w:val="bottom"/>
            <w:vMerge w:val="restart"/>
            <w:shd w:val="clear" w:color="auto" w:fill="CCFFCC"/>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60"/>
        </w:trPr>
        <w:tc>
          <w:tcPr>
            <w:tcW w:w="8200" w:type="dxa"/>
            <w:vAlign w:val="bottom"/>
            <w:shd w:val="clear" w:color="auto" w:fill="CCFFCC"/>
          </w:tcPr>
          <w:p>
            <w:pPr>
              <w:spacing w:after="0"/>
              <w:rPr>
                <w:sz w:val="13"/>
                <w:szCs w:val="13"/>
                <w:color w:val="auto"/>
              </w:rPr>
            </w:pPr>
          </w:p>
        </w:tc>
        <w:tc>
          <w:tcPr>
            <w:tcW w:w="360" w:type="dxa"/>
            <w:vAlign w:val="bottom"/>
            <w:shd w:val="clear" w:color="auto" w:fill="CCFFCC"/>
          </w:tcPr>
          <w:p>
            <w:pPr>
              <w:spacing w:after="0"/>
              <w:rPr>
                <w:sz w:val="13"/>
                <w:szCs w:val="13"/>
                <w:color w:val="auto"/>
              </w:rPr>
            </w:pPr>
          </w:p>
        </w:tc>
        <w:tc>
          <w:tcPr>
            <w:tcW w:w="1120" w:type="dxa"/>
            <w:vAlign w:val="bottom"/>
            <w:vMerge w:val="continue"/>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340" w:type="dxa"/>
            <w:vAlign w:val="bottom"/>
            <w:shd w:val="clear" w:color="auto" w:fill="CCFFCC"/>
          </w:tcPr>
          <w:p>
            <w:pPr>
              <w:spacing w:after="0"/>
              <w:rPr>
                <w:sz w:val="13"/>
                <w:szCs w:val="13"/>
                <w:color w:val="auto"/>
              </w:rPr>
            </w:pPr>
          </w:p>
        </w:tc>
        <w:tc>
          <w:tcPr>
            <w:tcW w:w="1100" w:type="dxa"/>
            <w:vAlign w:val="bottom"/>
            <w:vMerge w:val="continue"/>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200" w:type="dxa"/>
            <w:vAlign w:val="bottom"/>
            <w:tcBorders>
              <w:bottom w:val="single" w:sz="8" w:color="CCFFCC"/>
            </w:tcBorders>
          </w:tcPr>
          <w:p>
            <w:pPr>
              <w:ind w:left="380"/>
              <w:spacing w:after="0"/>
              <w:rPr>
                <w:sz w:val="20"/>
                <w:szCs w:val="20"/>
                <w:color w:val="auto"/>
              </w:rPr>
            </w:pPr>
            <w:r>
              <w:rPr>
                <w:rFonts w:ascii="Arial" w:cs="Arial" w:eastAsia="Arial" w:hAnsi="Arial"/>
                <w:sz w:val="14"/>
                <w:szCs w:val="14"/>
                <w:color w:val="auto"/>
              </w:rPr>
              <w:t>Other liabilities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50"/>
        </w:trPr>
        <w:tc>
          <w:tcPr>
            <w:tcW w:w="8200" w:type="dxa"/>
            <w:vAlign w:val="bottom"/>
            <w:shd w:val="clear" w:color="auto" w:fill="CCFFCC"/>
          </w:tcPr>
          <w:p>
            <w:pPr>
              <w:ind w:left="600"/>
              <w:spacing w:after="0"/>
              <w:rPr>
                <w:sz w:val="20"/>
                <w:szCs w:val="20"/>
                <w:color w:val="auto"/>
              </w:rPr>
            </w:pPr>
            <w:r>
              <w:rPr>
                <w:rFonts w:ascii="Arial" w:cs="Arial" w:eastAsia="Arial" w:hAnsi="Arial"/>
                <w:sz w:val="14"/>
                <w:szCs w:val="14"/>
                <w:color w:val="auto"/>
              </w:rPr>
              <w:t>Net cash provided by (used in) operating activities</w:t>
            </w:r>
          </w:p>
        </w:tc>
        <w:tc>
          <w:tcPr>
            <w:tcW w:w="36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4,293</w:t>
            </w:r>
          </w:p>
        </w:tc>
        <w:tc>
          <w:tcPr>
            <w:tcW w:w="10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(25,691)</w:t>
            </w:r>
          </w:p>
        </w:tc>
        <w:tc>
          <w:tcPr>
            <w:tcW w:w="0" w:type="dxa"/>
            <w:vAlign w:val="bottom"/>
          </w:tcPr>
          <w:p>
            <w:pPr>
              <w:spacing w:after="0"/>
              <w:rPr>
                <w:sz w:val="1"/>
                <w:szCs w:val="1"/>
                <w:color w:val="auto"/>
              </w:rPr>
            </w:pPr>
          </w:p>
        </w:tc>
      </w:tr>
      <w:tr>
        <w:trPr>
          <w:trHeight w:val="121"/>
        </w:trPr>
        <w:tc>
          <w:tcPr>
            <w:tcW w:w="8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200" w:type="dxa"/>
            <w:vAlign w:val="bottom"/>
            <w:shd w:val="clear" w:color="auto" w:fill="CCFFCC"/>
          </w:tcPr>
          <w:p>
            <w:pPr>
              <w:ind w:left="40"/>
              <w:spacing w:after="0"/>
              <w:rPr>
                <w:sz w:val="20"/>
                <w:szCs w:val="20"/>
                <w:color w:val="auto"/>
              </w:rPr>
            </w:pPr>
            <w:r>
              <w:rPr>
                <w:rFonts w:ascii="Arial" w:cs="Arial" w:eastAsia="Arial" w:hAnsi="Arial"/>
                <w:sz w:val="14"/>
                <w:szCs w:val="14"/>
                <w:color w:val="auto"/>
              </w:rPr>
              <w:t>INVESTING ACTIVITIES:</w:t>
            </w:r>
          </w:p>
        </w:tc>
        <w:tc>
          <w:tcPr>
            <w:tcW w:w="36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0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200" w:type="dxa"/>
            <w:vAlign w:val="bottom"/>
          </w:tcPr>
          <w:p>
            <w:pPr>
              <w:ind w:left="180"/>
              <w:spacing w:after="0"/>
              <w:rPr>
                <w:sz w:val="20"/>
                <w:szCs w:val="20"/>
                <w:color w:val="auto"/>
              </w:rPr>
            </w:pPr>
            <w:r>
              <w:rPr>
                <w:rFonts w:ascii="Arial" w:cs="Arial" w:eastAsia="Arial" w:hAnsi="Arial"/>
                <w:sz w:val="14"/>
                <w:szCs w:val="14"/>
                <w:color w:val="auto"/>
              </w:rPr>
              <w:t>Purchases of property and equipment, including capitalized software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(8,335)</w:t>
            </w:r>
          </w:p>
        </w:tc>
        <w:tc>
          <w:tcPr>
            <w:tcW w:w="0" w:type="dxa"/>
            <w:vAlign w:val="bottom"/>
          </w:tcPr>
          <w:p>
            <w:pPr>
              <w:spacing w:after="0"/>
              <w:rPr>
                <w:sz w:val="1"/>
                <w:szCs w:val="1"/>
                <w:color w:val="auto"/>
              </w:rPr>
            </w:pPr>
          </w:p>
        </w:tc>
      </w:tr>
      <w:tr>
        <w:trPr>
          <w:trHeight w:val="270"/>
        </w:trPr>
        <w:tc>
          <w:tcPr>
            <w:tcW w:w="820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Payments for intangible assets</w:t>
            </w:r>
          </w:p>
        </w:tc>
        <w:tc>
          <w:tcPr>
            <w:tcW w:w="36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820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(11,030)</w:t>
            </w:r>
          </w:p>
        </w:tc>
        <w:tc>
          <w:tcPr>
            <w:tcW w:w="10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(8,337)</w:t>
            </w:r>
          </w:p>
        </w:tc>
        <w:tc>
          <w:tcPr>
            <w:tcW w:w="0" w:type="dxa"/>
            <w:vAlign w:val="bottom"/>
          </w:tcPr>
          <w:p>
            <w:pPr>
              <w:spacing w:after="0"/>
              <w:rPr>
                <w:sz w:val="1"/>
                <w:szCs w:val="1"/>
                <w:color w:val="auto"/>
              </w:rPr>
            </w:pPr>
          </w:p>
        </w:tc>
      </w:tr>
      <w:tr>
        <w:trPr>
          <w:trHeight w:val="121"/>
        </w:trPr>
        <w:tc>
          <w:tcPr>
            <w:tcW w:w="820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1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1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820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00" w:type="dxa"/>
            <w:vAlign w:val="bottom"/>
            <w:shd w:val="clear" w:color="auto" w:fill="CCFFCC"/>
          </w:tcPr>
          <w:p>
            <w:pPr>
              <w:ind w:left="180"/>
              <w:spacing w:after="0"/>
              <w:rPr>
                <w:sz w:val="20"/>
                <w:szCs w:val="20"/>
                <w:color w:val="auto"/>
              </w:rPr>
            </w:pPr>
            <w:r>
              <w:rPr>
                <w:rFonts w:ascii="Arial" w:cs="Arial" w:eastAsia="Arial" w:hAnsi="Arial"/>
                <w:sz w:val="14"/>
                <w:szCs w:val="14"/>
                <w:color w:val="auto"/>
              </w:rPr>
              <w:t>Repurchase of common stock</w:t>
            </w:r>
          </w:p>
        </w:tc>
        <w:tc>
          <w:tcPr>
            <w:tcW w:w="360" w:type="dxa"/>
            <w:vAlign w:val="bottom"/>
            <w:shd w:val="clear" w:color="auto" w:fill="CCFFCC"/>
          </w:tcPr>
          <w:p>
            <w:pPr>
              <w:spacing w:after="0"/>
              <w:rPr>
                <w:sz w:val="24"/>
                <w:szCs w:val="24"/>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4"/>
                <w:szCs w:val="24"/>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264"/>
        </w:trPr>
        <w:tc>
          <w:tcPr>
            <w:tcW w:w="8200" w:type="dxa"/>
            <w:vAlign w:val="bottom"/>
          </w:tcPr>
          <w:p>
            <w:pPr>
              <w:ind w:left="180"/>
              <w:spacing w:after="0"/>
              <w:rPr>
                <w:sz w:val="20"/>
                <w:szCs w:val="20"/>
                <w:color w:val="auto"/>
              </w:rPr>
            </w:pPr>
            <w:r>
              <w:rPr>
                <w:rFonts w:ascii="Arial" w:cs="Arial" w:eastAsia="Arial" w:hAnsi="Arial"/>
                <w:sz w:val="14"/>
                <w:szCs w:val="14"/>
                <w:color w:val="auto"/>
              </w:rPr>
              <w:t>Proceeds from issuance of common stock in connection with the exercise of options and ESPP</w:t>
            </w:r>
          </w:p>
        </w:tc>
        <w:tc>
          <w:tcPr>
            <w:tcW w:w="3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7,198</w:t>
            </w:r>
          </w:p>
        </w:tc>
        <w:tc>
          <w:tcPr>
            <w:tcW w:w="0" w:type="dxa"/>
            <w:vAlign w:val="bottom"/>
          </w:tcPr>
          <w:p>
            <w:pPr>
              <w:spacing w:after="0"/>
              <w:rPr>
                <w:sz w:val="1"/>
                <w:szCs w:val="1"/>
                <w:color w:val="auto"/>
              </w:rPr>
            </w:pPr>
          </w:p>
        </w:tc>
      </w:tr>
      <w:tr>
        <w:trPr>
          <w:trHeight w:val="276"/>
        </w:trPr>
        <w:tc>
          <w:tcPr>
            <w:tcW w:w="820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Proceeds from issuance of convertible senior notes</w:t>
            </w:r>
          </w:p>
        </w:tc>
        <w:tc>
          <w:tcPr>
            <w:tcW w:w="360" w:type="dxa"/>
            <w:vAlign w:val="bottom"/>
            <w:shd w:val="clear" w:color="auto" w:fill="CCFFCC"/>
          </w:tcPr>
          <w:p>
            <w:pPr>
              <w:spacing w:after="0"/>
              <w:rPr>
                <w:sz w:val="24"/>
                <w:szCs w:val="24"/>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4"/>
                <w:szCs w:val="24"/>
                <w:color w:val="auto"/>
              </w:rPr>
            </w:pPr>
          </w:p>
        </w:tc>
        <w:tc>
          <w:tcPr>
            <w:tcW w:w="11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230,000</w:t>
            </w:r>
          </w:p>
        </w:tc>
        <w:tc>
          <w:tcPr>
            <w:tcW w:w="0" w:type="dxa"/>
            <w:vAlign w:val="bottom"/>
          </w:tcPr>
          <w:p>
            <w:pPr>
              <w:spacing w:after="0"/>
              <w:rPr>
                <w:sz w:val="1"/>
                <w:szCs w:val="1"/>
                <w:color w:val="auto"/>
              </w:rPr>
            </w:pPr>
          </w:p>
        </w:tc>
      </w:tr>
      <w:tr>
        <w:trPr>
          <w:trHeight w:val="264"/>
        </w:trPr>
        <w:tc>
          <w:tcPr>
            <w:tcW w:w="8200" w:type="dxa"/>
            <w:vAlign w:val="bottom"/>
          </w:tcPr>
          <w:p>
            <w:pPr>
              <w:ind w:left="180"/>
              <w:spacing w:after="0"/>
              <w:rPr>
                <w:sz w:val="20"/>
                <w:szCs w:val="20"/>
                <w:color w:val="auto"/>
              </w:rPr>
            </w:pPr>
            <w:r>
              <w:rPr>
                <w:rFonts w:ascii="Arial" w:cs="Arial" w:eastAsia="Arial" w:hAnsi="Arial"/>
                <w:sz w:val="14"/>
                <w:szCs w:val="14"/>
                <w:color w:val="auto"/>
              </w:rPr>
              <w:t>Payment of issuance costs in connection with convertible senior notes</w:t>
            </w:r>
          </w:p>
        </w:tc>
        <w:tc>
          <w:tcPr>
            <w:tcW w:w="3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(7,329)</w:t>
            </w:r>
          </w:p>
        </w:tc>
        <w:tc>
          <w:tcPr>
            <w:tcW w:w="0" w:type="dxa"/>
            <w:vAlign w:val="bottom"/>
          </w:tcPr>
          <w:p>
            <w:pPr>
              <w:spacing w:after="0"/>
              <w:rPr>
                <w:sz w:val="1"/>
                <w:szCs w:val="1"/>
                <w:color w:val="auto"/>
              </w:rPr>
            </w:pPr>
          </w:p>
        </w:tc>
      </w:tr>
      <w:tr>
        <w:trPr>
          <w:trHeight w:val="276"/>
        </w:trPr>
        <w:tc>
          <w:tcPr>
            <w:tcW w:w="820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Payments related to contingent consideration</w:t>
            </w:r>
          </w:p>
        </w:tc>
        <w:tc>
          <w:tcPr>
            <w:tcW w:w="360" w:type="dxa"/>
            <w:vAlign w:val="bottom"/>
            <w:shd w:val="clear" w:color="auto" w:fill="CCFFCC"/>
          </w:tcPr>
          <w:p>
            <w:pPr>
              <w:spacing w:after="0"/>
              <w:rPr>
                <w:sz w:val="24"/>
                <w:szCs w:val="24"/>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4"/>
                <w:szCs w:val="24"/>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64"/>
        </w:trPr>
        <w:tc>
          <w:tcPr>
            <w:tcW w:w="8200" w:type="dxa"/>
            <w:vAlign w:val="bottom"/>
          </w:tcPr>
          <w:p>
            <w:pPr>
              <w:ind w:left="180"/>
              <w:spacing w:after="0"/>
              <w:rPr>
                <w:sz w:val="20"/>
                <w:szCs w:val="20"/>
                <w:color w:val="auto"/>
              </w:rPr>
            </w:pPr>
            <w:r>
              <w:rPr>
                <w:rFonts w:ascii="Arial" w:cs="Arial" w:eastAsia="Arial" w:hAnsi="Arial"/>
                <w:sz w:val="14"/>
                <w:szCs w:val="14"/>
                <w:color w:val="auto"/>
              </w:rPr>
              <w:t>Purchase of capped call option</w:t>
            </w:r>
          </w:p>
        </w:tc>
        <w:tc>
          <w:tcPr>
            <w:tcW w:w="3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(23,184)</w:t>
            </w:r>
          </w:p>
        </w:tc>
        <w:tc>
          <w:tcPr>
            <w:tcW w:w="0" w:type="dxa"/>
            <w:vAlign w:val="bottom"/>
          </w:tcPr>
          <w:p>
            <w:pPr>
              <w:spacing w:after="0"/>
              <w:rPr>
                <w:sz w:val="1"/>
                <w:szCs w:val="1"/>
                <w:color w:val="auto"/>
              </w:rPr>
            </w:pPr>
          </w:p>
        </w:tc>
      </w:tr>
      <w:tr>
        <w:trPr>
          <w:trHeight w:val="250"/>
        </w:trPr>
        <w:tc>
          <w:tcPr>
            <w:tcW w:w="8200" w:type="dxa"/>
            <w:vAlign w:val="bottom"/>
            <w:tcBorders>
              <w:top w:val="single" w:sz="8" w:color="CCFFCC"/>
            </w:tcBorders>
            <w:shd w:val="clear" w:color="auto" w:fill="CCFFCC"/>
          </w:tcPr>
          <w:p>
            <w:pPr>
              <w:ind w:left="60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top w:val="single" w:sz="8" w:color="auto"/>
              <w:bottom w:val="single" w:sz="8" w:color="auto"/>
            </w:tcBorders>
            <w:shd w:val="clear" w:color="auto" w:fill="CCFFCC"/>
          </w:tcPr>
          <w:p>
            <w:pPr>
              <w:spacing w:after="0"/>
              <w:rPr>
                <w:sz w:val="21"/>
                <w:szCs w:val="21"/>
                <w:color w:val="auto"/>
              </w:rPr>
            </w:pPr>
          </w:p>
        </w:tc>
        <w:tc>
          <w:tcPr>
            <w:tcW w:w="1120" w:type="dxa"/>
            <w:vAlign w:val="bottom"/>
            <w:tcBorders>
              <w:top w:val="single" w:sz="8" w:color="auto"/>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3,098</w:t>
            </w:r>
          </w:p>
        </w:tc>
        <w:tc>
          <w:tcPr>
            <w:tcW w:w="100" w:type="dxa"/>
            <w:vAlign w:val="bottom"/>
            <w:tcBorders>
              <w:top w:val="single" w:sz="8" w:color="CCFFCC"/>
            </w:tcBorders>
            <w:shd w:val="clear" w:color="auto" w:fill="CCFFCC"/>
          </w:tcPr>
          <w:p>
            <w:pPr>
              <w:spacing w:after="0"/>
              <w:rPr>
                <w:sz w:val="21"/>
                <w:szCs w:val="21"/>
                <w:color w:val="auto"/>
              </w:rPr>
            </w:pPr>
          </w:p>
        </w:tc>
        <w:tc>
          <w:tcPr>
            <w:tcW w:w="340" w:type="dxa"/>
            <w:vAlign w:val="bottom"/>
            <w:tcBorders>
              <w:top w:val="single" w:sz="8" w:color="auto"/>
              <w:bottom w:val="single" w:sz="8" w:color="auto"/>
            </w:tcBorders>
            <w:shd w:val="clear" w:color="auto" w:fill="CCFFCC"/>
          </w:tcPr>
          <w:p>
            <w:pPr>
              <w:spacing w:after="0"/>
              <w:rPr>
                <w:sz w:val="21"/>
                <w:szCs w:val="21"/>
                <w:color w:val="auto"/>
              </w:rPr>
            </w:pPr>
          </w:p>
        </w:tc>
        <w:tc>
          <w:tcPr>
            <w:tcW w:w="1100" w:type="dxa"/>
            <w:vAlign w:val="bottom"/>
            <w:tcBorders>
              <w:top w:val="single" w:sz="8" w:color="auto"/>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205,489</w:t>
            </w:r>
          </w:p>
        </w:tc>
        <w:tc>
          <w:tcPr>
            <w:tcW w:w="0" w:type="dxa"/>
            <w:vAlign w:val="bottom"/>
          </w:tcPr>
          <w:p>
            <w:pPr>
              <w:spacing w:after="0"/>
              <w:rPr>
                <w:sz w:val="1"/>
                <w:szCs w:val="1"/>
                <w:color w:val="auto"/>
              </w:rPr>
            </w:pPr>
          </w:p>
        </w:tc>
      </w:tr>
      <w:tr>
        <w:trPr>
          <w:trHeight w:val="250"/>
        </w:trPr>
        <w:tc>
          <w:tcPr>
            <w:tcW w:w="820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(1,405)</w:t>
            </w:r>
          </w:p>
        </w:tc>
        <w:tc>
          <w:tcPr>
            <w:tcW w:w="10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56"/>
        </w:trPr>
        <w:tc>
          <w:tcPr>
            <w:tcW w:w="8200" w:type="dxa"/>
            <w:vAlign w:val="bottom"/>
            <w:shd w:val="clear" w:color="auto" w:fill="CCFFCC"/>
          </w:tcPr>
          <w:p>
            <w:pPr>
              <w:ind w:left="40"/>
              <w:spacing w:after="0"/>
              <w:rPr>
                <w:sz w:val="20"/>
                <w:szCs w:val="20"/>
                <w:color w:val="auto"/>
              </w:rPr>
            </w:pPr>
            <w:r>
              <w:rPr>
                <w:rFonts w:ascii="Arial" w:cs="Arial" w:eastAsia="Arial" w:hAnsi="Arial"/>
                <w:sz w:val="14"/>
                <w:szCs w:val="14"/>
                <w:color w:val="auto"/>
              </w:rPr>
              <w:t>CHANGE IN CASH AND CASH EQUIVALENTS</w:t>
            </w:r>
          </w:p>
        </w:tc>
        <w:tc>
          <w:tcPr>
            <w:tcW w:w="36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(5,044)</w:t>
            </w:r>
          </w:p>
        </w:tc>
        <w:tc>
          <w:tcPr>
            <w:tcW w:w="10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171,338</w:t>
            </w:r>
          </w:p>
        </w:tc>
        <w:tc>
          <w:tcPr>
            <w:tcW w:w="0" w:type="dxa"/>
            <w:vAlign w:val="bottom"/>
          </w:tcPr>
          <w:p>
            <w:pPr>
              <w:spacing w:after="0"/>
              <w:rPr>
                <w:sz w:val="1"/>
                <w:szCs w:val="1"/>
                <w:color w:val="auto"/>
              </w:rPr>
            </w:pPr>
          </w:p>
        </w:tc>
      </w:tr>
      <w:tr>
        <w:trPr>
          <w:trHeight w:val="264"/>
        </w:trPr>
        <w:tc>
          <w:tcPr>
            <w:tcW w:w="820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CASH AND CASH EQUIVALENTS - Beginning of the period</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176,523</w:t>
            </w:r>
          </w:p>
        </w:tc>
        <w:tc>
          <w:tcPr>
            <w:tcW w:w="10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66,449</w:t>
            </w:r>
          </w:p>
        </w:tc>
        <w:tc>
          <w:tcPr>
            <w:tcW w:w="0" w:type="dxa"/>
            <w:vAlign w:val="bottom"/>
          </w:tcPr>
          <w:p>
            <w:pPr>
              <w:spacing w:after="0"/>
              <w:rPr>
                <w:sz w:val="1"/>
                <w:szCs w:val="1"/>
                <w:color w:val="auto"/>
              </w:rPr>
            </w:pPr>
          </w:p>
        </w:tc>
      </w:tr>
      <w:tr>
        <w:trPr>
          <w:trHeight w:val="243"/>
        </w:trPr>
        <w:tc>
          <w:tcPr>
            <w:tcW w:w="8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CASH AND CASH EQUIVALENTS - End of the period</w:t>
            </w:r>
          </w:p>
        </w:tc>
        <w:tc>
          <w:tcPr>
            <w:tcW w:w="360" w:type="dxa"/>
            <w:vAlign w:val="bottom"/>
            <w:tcBorders>
              <w:bottom w:val="single" w:sz="8" w:color="auto"/>
            </w:tcBorders>
            <w:shd w:val="clear" w:color="auto" w:fill="CCFFCC"/>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171,479</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237,787</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200" w:type="dxa"/>
            <w:vAlign w:val="bottom"/>
            <w:shd w:val="clear" w:color="auto" w:fill="CCFFCC"/>
          </w:tcPr>
          <w:p>
            <w:pPr>
              <w:ind w:left="40"/>
              <w:spacing w:after="0"/>
              <w:rPr>
                <w:sz w:val="20"/>
                <w:szCs w:val="20"/>
                <w:color w:val="auto"/>
              </w:rPr>
            </w:pPr>
            <w:r>
              <w:rPr>
                <w:rFonts w:ascii="Arial" w:cs="Arial" w:eastAsia="Arial" w:hAnsi="Arial"/>
                <w:sz w:val="14"/>
                <w:szCs w:val="14"/>
                <w:color w:val="auto"/>
              </w:rPr>
              <w:t>SUPPLEMENTAL DISCLOSURE OF OTHER CASH FLOW INFORMATION:</w:t>
            </w:r>
          </w:p>
        </w:tc>
        <w:tc>
          <w:tcPr>
            <w:tcW w:w="36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0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200" w:type="dxa"/>
            <w:vAlign w:val="bottom"/>
          </w:tcPr>
          <w:p>
            <w:pPr>
              <w:ind w:left="180"/>
              <w:spacing w:after="0"/>
              <w:rPr>
                <w:sz w:val="20"/>
                <w:szCs w:val="20"/>
                <w:color w:val="auto"/>
              </w:rPr>
            </w:pPr>
            <w:r>
              <w:rPr>
                <w:rFonts w:ascii="Arial" w:cs="Arial" w:eastAsia="Arial" w:hAnsi="Arial"/>
                <w:sz w:val="14"/>
                <w:szCs w:val="14"/>
                <w:color w:val="auto"/>
              </w:rPr>
              <w:t>Cash paid for income taxes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958" w:right="359" w:bottom="511"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23430" cy="111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11176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40" w:type="dxa"/>
            <w:vAlign w:val="bottom"/>
          </w:tcPr>
          <w:p>
            <w:pPr>
              <w:ind w:left="4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1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1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Purchase of property and equipment recorded in accounts payable</w:t>
            </w:r>
          </w:p>
        </w:tc>
        <w:tc>
          <w:tcPr>
            <w:tcW w:w="160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1,408</w:t>
            </w:r>
          </w:p>
        </w:tc>
        <w:tc>
          <w:tcPr>
            <w:tcW w:w="600" w:type="dxa"/>
            <w:vAlign w:val="bottom"/>
            <w:shd w:val="clear" w:color="auto" w:fill="CCFFCC"/>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90"/>
        </w:trPr>
        <w:tc>
          <w:tcPr>
            <w:tcW w:w="7140" w:type="dxa"/>
            <w:vAlign w:val="bottom"/>
          </w:tcPr>
          <w:p>
            <w:pPr>
              <w:ind w:left="180"/>
              <w:spacing w:after="0"/>
              <w:rPr>
                <w:sz w:val="20"/>
                <w:szCs w:val="20"/>
                <w:color w:val="auto"/>
              </w:rPr>
            </w:pPr>
            <w:r>
              <w:rPr>
                <w:rFonts w:ascii="Arial" w:cs="Arial" w:eastAsia="Arial" w:hAnsi="Arial"/>
                <w:sz w:val="14"/>
                <w:szCs w:val="14"/>
                <w:color w:val="auto"/>
              </w:rPr>
              <w:t>Issuance of 11,508 shares of common stock as earnout payment in connection with AdvantageTec Inc.</w:t>
            </w:r>
          </w:p>
        </w:tc>
        <w:tc>
          <w:tcPr>
            <w:tcW w:w="1600" w:type="dxa"/>
            <w:vAlign w:val="bottom"/>
            <w:vMerge w:val="restart"/>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294</w:t>
            </w:r>
          </w:p>
        </w:tc>
        <w:tc>
          <w:tcPr>
            <w:tcW w:w="60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714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71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Issuance of 991,905 shares of common stock to settle cash awards</w:t>
            </w:r>
          </w:p>
        </w:tc>
        <w:tc>
          <w:tcPr>
            <w:tcW w:w="160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24,656</w:t>
            </w:r>
          </w:p>
        </w:tc>
        <w:tc>
          <w:tcPr>
            <w:tcW w:w="600" w:type="dxa"/>
            <w:vAlign w:val="bottom"/>
            <w:shd w:val="clear" w:color="auto" w:fill="CCFFCC"/>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140" w:type="dxa"/>
            <w:vAlign w:val="bottom"/>
          </w:tcPr>
          <w:p>
            <w:pPr>
              <w:ind w:left="180"/>
              <w:spacing w:after="0"/>
              <w:rPr>
                <w:sz w:val="20"/>
                <w:szCs w:val="20"/>
                <w:color w:val="auto"/>
              </w:rPr>
            </w:pPr>
            <w:r>
              <w:rPr>
                <w:rFonts w:ascii="Arial" w:cs="Arial" w:eastAsia="Arial" w:hAnsi="Arial"/>
                <w:sz w:val="14"/>
                <w:szCs w:val="14"/>
                <w:color w:val="auto"/>
              </w:rPr>
              <w:t xml:space="preserve">Operating lease right of use asset </w:t>
            </w:r>
            <w:r>
              <w:rPr>
                <w:rFonts w:ascii="Arial" w:cs="Arial" w:eastAsia="Arial" w:hAnsi="Arial"/>
                <w:sz w:val="8"/>
                <w:szCs w:val="8"/>
                <w:color w:val="auto"/>
              </w:rPr>
              <w:t>(1)</w:t>
            </w:r>
          </w:p>
        </w:tc>
        <w:tc>
          <w:tcPr>
            <w:tcW w:w="16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1,119</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12,807</w:t>
            </w:r>
          </w:p>
        </w:tc>
        <w:tc>
          <w:tcPr>
            <w:tcW w:w="0" w:type="dxa"/>
            <w:vAlign w:val="bottom"/>
          </w:tcPr>
          <w:p>
            <w:pPr>
              <w:spacing w:after="0"/>
              <w:rPr>
                <w:sz w:val="1"/>
                <w:szCs w:val="1"/>
                <w:color w:val="auto"/>
              </w:rPr>
            </w:pPr>
          </w:p>
        </w:tc>
      </w:tr>
      <w:tr>
        <w:trPr>
          <w:trHeight w:val="276"/>
        </w:trPr>
        <w:tc>
          <w:tcPr>
            <w:tcW w:w="71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Operating lease liabilities- short-term and long term</w:t>
            </w:r>
          </w:p>
        </w:tc>
        <w:tc>
          <w:tcPr>
            <w:tcW w:w="160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669</w:t>
            </w:r>
          </w:p>
        </w:tc>
        <w:tc>
          <w:tcPr>
            <w:tcW w:w="600" w:type="dxa"/>
            <w:vAlign w:val="bottom"/>
            <w:shd w:val="clear" w:color="auto" w:fill="CCFFCC"/>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(16,782)</w:t>
            </w:r>
          </w:p>
        </w:tc>
        <w:tc>
          <w:tcPr>
            <w:tcW w:w="0" w:type="dxa"/>
            <w:vAlign w:val="bottom"/>
          </w:tcPr>
          <w:p>
            <w:pPr>
              <w:spacing w:after="0"/>
              <w:rPr>
                <w:sz w:val="1"/>
                <w:szCs w:val="1"/>
                <w:color w:val="auto"/>
              </w:rPr>
            </w:pPr>
          </w:p>
        </w:tc>
      </w:tr>
      <w:tr>
        <w:trPr>
          <w:trHeight w:val="264"/>
        </w:trPr>
        <w:tc>
          <w:tcPr>
            <w:tcW w:w="7140" w:type="dxa"/>
            <w:vAlign w:val="bottom"/>
          </w:tcPr>
          <w:p>
            <w:pPr>
              <w:ind w:left="180"/>
              <w:spacing w:after="0"/>
              <w:rPr>
                <w:sz w:val="20"/>
                <w:szCs w:val="20"/>
                <w:color w:val="auto"/>
              </w:rPr>
            </w:pPr>
            <w:r>
              <w:rPr>
                <w:rFonts w:ascii="Arial" w:cs="Arial" w:eastAsia="Arial" w:hAnsi="Arial"/>
                <w:sz w:val="14"/>
                <w:szCs w:val="14"/>
                <w:color w:val="auto"/>
              </w:rPr>
              <w:t>Debt offering costs, accrued but not paid</w:t>
            </w:r>
          </w:p>
        </w:tc>
        <w:tc>
          <w:tcPr>
            <w:tcW w:w="16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1,306</w:t>
            </w:r>
          </w:p>
        </w:tc>
        <w:tc>
          <w:tcPr>
            <w:tcW w:w="0" w:type="dxa"/>
            <w:vAlign w:val="bottom"/>
          </w:tcPr>
          <w:p>
            <w:pPr>
              <w:spacing w:after="0"/>
              <w:rPr>
                <w:sz w:val="1"/>
                <w:szCs w:val="1"/>
                <w:color w:val="auto"/>
              </w:rPr>
            </w:pPr>
          </w:p>
        </w:tc>
      </w:tr>
      <w:tr>
        <w:trPr>
          <w:trHeight w:val="290"/>
        </w:trPr>
        <w:tc>
          <w:tcPr>
            <w:tcW w:w="7140" w:type="dxa"/>
            <w:vAlign w:val="bottom"/>
            <w:shd w:val="clear" w:color="auto" w:fill="CCFFCC"/>
          </w:tcPr>
          <w:p>
            <w:pPr>
              <w:spacing w:after="0"/>
              <w:rPr>
                <w:sz w:val="24"/>
                <w:szCs w:val="24"/>
                <w:color w:val="auto"/>
              </w:rPr>
            </w:pPr>
          </w:p>
        </w:tc>
        <w:tc>
          <w:tcPr>
            <w:tcW w:w="1600" w:type="dxa"/>
            <w:vAlign w:val="bottom"/>
            <w:shd w:val="clear" w:color="auto" w:fill="CCFFCC"/>
          </w:tcPr>
          <w:p>
            <w:pPr>
              <w:spacing w:after="0"/>
              <w:rPr>
                <w:sz w:val="24"/>
                <w:szCs w:val="24"/>
                <w:color w:val="auto"/>
              </w:rPr>
            </w:pPr>
          </w:p>
        </w:tc>
        <w:tc>
          <w:tcPr>
            <w:tcW w:w="940" w:type="dxa"/>
            <w:vAlign w:val="bottom"/>
            <w:shd w:val="clear" w:color="auto" w:fill="CCFFCC"/>
          </w:tcPr>
          <w:p>
            <w:pPr>
              <w:spacing w:after="0"/>
              <w:rPr>
                <w:sz w:val="24"/>
                <w:szCs w:val="24"/>
                <w:color w:val="auto"/>
              </w:rPr>
            </w:pPr>
          </w:p>
        </w:tc>
        <w:tc>
          <w:tcPr>
            <w:tcW w:w="600" w:type="dxa"/>
            <w:vAlign w:val="bottom"/>
            <w:shd w:val="clear" w:color="auto" w:fill="CCFFCC"/>
          </w:tcPr>
          <w:p>
            <w:pPr>
              <w:spacing w:after="0"/>
              <w:rPr>
                <w:sz w:val="24"/>
                <w:szCs w:val="24"/>
                <w:color w:val="auto"/>
              </w:rPr>
            </w:pPr>
          </w:p>
        </w:tc>
        <w:tc>
          <w:tcPr>
            <w:tcW w:w="94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80" w:right="3180" w:hanging="10"/>
        <w:spacing w:after="0" w:line="253" w:lineRule="auto"/>
        <w:tabs>
          <w:tab w:leader="none" w:pos="384"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leases that commenced during the year ended December 31, 2019, as well as balances related to leases in existence as of the date of the adoption of Topic 842.</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742"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LivePerson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San Francisco (California), MountainView (California), Tampa (Florida) and Seattle (Washington), and international offices in Amsterdam (Netherlands), Berlin (Germany), Delhi (India), London (United Kingdom), Mannheim (Germany), Melbourne (Australia), Sydney (Australia), Milan (Italy), Paris (France), Ra'anana (Israel), Reading (United Kingdom), Singapore (Singapore), Tel Aviv (Israel), and Tokyo (Japan).</w:t>
      </w:r>
    </w:p>
    <w:p>
      <w:pPr>
        <w:spacing w:after="0" w:line="3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LivePerson, Inc. makes life easier for people and brands everywhere through messaging powered by AI and humans. During the past decade, the consumer has made the mobile device the center of their digital lives, and they have made mobile messaging the center of communication with friends, family and peers. The Company’s technology enables consumers to connect with businesses through these same preferred conversational interfaces, including Facebook Messenger, SMS,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even marketing, social and brick and mortar engagements. For example, consumers can look up product info like ratings, images and pricing, search for stores, see product inventory, schedule appointments, apply for credit, approve repairs, make purchases or payments - all without ever leaving the messaging channel. These AI and human-assisted conversational experiences constitute the Conversational Space.</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LiveEngage, the Company’s enterprise-class cloud-based platform, enables businesses to become conversational by securely deploying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 (SMS), social media and third-party consumer messaging platforms. Brands can also use LiveEngage to message consumers when they dial a 1-800 number instead of forcing them to navigate interactive voice response systems (IVRs) and wait on hold. Similarly, LiveEngage can receive traditional emails and convert them into messaging conversations, or embed messaging conversations directly into web advertisements, rather than redirect consumers to static website landing pages.</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With LiveEngage, agents can manage all conversations with consumers through a single console interface, regardless of which disparate messaging endpoints the consumers originate from -- i.e., WhatsApp, Line, Apple Business Chat, IVR, social, email, Alexa, or WeChat.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LiveEngage.</w:t>
      </w:r>
    </w:p>
    <w:p>
      <w:pPr>
        <w:spacing w:after="0" w:line="3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the Company’s proprietary Conversational AI, as well as third-party bots, LiveEngage offers brands a comprehensive approach to scaling automations across their millions of customer conversations.</w:t>
      </w:r>
    </w:p>
    <w:p>
      <w:pPr>
        <w:spacing w:after="0" w:line="200" w:lineRule="exact"/>
        <w:rPr>
          <w:sz w:val="20"/>
          <w:szCs w:val="20"/>
          <w:color w:val="auto"/>
        </w:rPr>
      </w:pP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Complementing the Company’s proprietary messaging and Conversational AI offerings are teams of technical, solutions and consulting professionals that have developed deep domain expertise in the implementation and optimization of conversational services across industries and messaging endpoints. LivePerson is a leading authority in the Conversational Space. LivePerson’s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7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products, coupled with the Company’s domain knowledge, industry expertise and professional services, have been proven to maximize the effectiveness of the Conversational Space and deliver measurable return on investment. Certain of the Company’s customers have achieved the following advantages from the Company’s offerings:</w:t>
      </w:r>
    </w:p>
    <w:p>
      <w:pPr>
        <w:spacing w:after="0" w:line="76" w:lineRule="exact"/>
        <w:rPr>
          <w:sz w:val="20"/>
          <w:szCs w:val="20"/>
          <w:color w:val="auto"/>
        </w:rPr>
      </w:pPr>
    </w:p>
    <w:p>
      <w:pPr>
        <w:ind w:left="660" w:right="2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labor efficiency gains of at least two times that of a voice agents, effectively cutting labor costs by at least 50%;</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improving the overall customer experience, thereby fueling customer satisfaction increases of up to 20 percentage points, and enhancing retention and loyalty;</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more convenient, personalized and content-rich conversations that increase sales conversion by up to 20%, increase average order value and reduce abandonment;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more satisfied contact center agents, thereby reducing agent churn by up to 50%</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a valued connection with consumers via mobile devices, either through native applications, websites, text messages, or third-party messaging platforms;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spending that drives visitor traffic by increasing visitor conversions;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refine and improve performance by understanding which initiatives deliver the highest rate of return;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lead generation by providing a single platform that engages consumers through advertisements and listings on branded and third-party websites.</w:t>
      </w:r>
    </w:p>
    <w:p>
      <w:pPr>
        <w:spacing w:after="0" w:line="38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 than 18,000 businesses, including HSBC, Orange, The Home Depot, and GM Financial use our conversational solutions to orchestrate humans and AI, at scale, and create a convenient, deeply personal relationship with their customers.</w:t>
      </w:r>
    </w:p>
    <w:p>
      <w:pPr>
        <w:spacing w:after="0" w:line="27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LivePerson's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accompanying condensed consolidated financial statements as of March 31, 2020 and for the three months ended March 31, 2020 and 2019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March 31, 2020, and the consolidated results of operations, comprehensive loss and cash flows for the interim periods ended March 31, 2020 and 2019.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at December 31, 2019 has been derived from audited consolidated financial statements at that date.</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2019 included in the Company’s Annual Report on Form 10-K filed with the SEC on March 2,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balances and transactions have been eliminated.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7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Many of our estimates require increased judgment due to the significant volatility, uncertainty and economic disruption of the recent global COVID-19 pandemic. We will continue to monitor the effects of the COVID-19 pandemic, and our estimates and judgments may change materially as new events occur or additional information becomes available to us.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December 2019, the Financial Accounting Standards Board (“FASB”) issued ASU 2019-12, "Income Taxes (Topic 740): Simplifying the Accounting for Income Taxes." The new guidance is intended to simplify the accounting for income taxes by removing certain exceptions and by updating accounting requirements around franchise taxes, goodwill recognized for tax purposes, the allocation of current and deferred tax expense among legal entities, among other minor changes. The ASU is effective for fiscal years beginning after December 15, 2020, including interim periods within those fiscal years. Early adoption is permitted. The Company is assessing what impact ASU 2019-12 will have on its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June 2016, the FASB issued Accounting Standards Update ASU 2016-13, "Financial Instruments-Credit Losses (Topic 326)", in order to improve financial reporting of expected credit losses on financial instruments and other commitments to extend credit. ASU 2016-13 requires that an entity measure and recognize expected credit losses for financial assets held at amortized cost and replaces the incurred loss impairment methodology in prior GAAP with a methodology that requires consideration of a broader range of information to estimate credit losses. Such required disclosures include, but are not limited to, the Company's methodology for estimating its allowance for credit losses. The Company adopted ASU 2016-13 effective January 1, 2020 and applied the guidance using a modified retrospective approach requiring that the Company recognize the cumulative effect of initially applying the impairment standard as an adjustment to opening accumulated deficit for the incremental increase in its allowance for credit losses as of January 1, 2020 over its allowance for bad debts as of December, 31, 2019, which amounted to $0.7 million. The Company will continue to actively monitor the impact of the recent coronavirus (COVID-19) pandemic on expected credit losses.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2017, the FASB issued Accounting Standards Update ASU 2017-04, Simplifying the Test for Goodwill Impairment, which eliminates the computation of the implied fair value of goodwill to measure a goodwill impairment charge. Instead, entities will record a goodwill impairment charge based on the excess of a reporting unit’s carrying amount over its fair value. The guidance is effective for interim and annual reporting periods beginning after December 15, 2019, with early adoption permitted. The Company adopted ASU 2017-04 in the first quarter of 2020 which reduced the complexity surrounding the evaluation of goodwill for impairment. The adoption of this guidance did not have a material impact on the Company’s condensed consolidated financial statements.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August 2018, the FASB issued ASU 2018-15, “Customer’s Accounting for Implementation Costs Incurred in a Cloud Computing Arrangement That Is a Service Contract,” which clarifies the accounting for implementation costs in cloud computing arrangements. The new standard aligns the treatment of implementation costs incurred by customers in cloud computing arrangements that are service contracts with the treatment of similar costs incurred to develop or obtain internal-use software. Under the new standard, implementation costs are deferred and presented in the same financial statement caption on the condensed consolidated balance sheet as a prepayment of related arrangement fees. The deferred costs are recognized over the term of the arrangement in the same financial statement caption in the condensed consolidated income statement as the related fees of the arrangement. The Company adopted ASU 2018-15 in the first quarter of 2020 and the impact of the adoption was not material to the Company's condensed consolidated financial statements.</w:t>
      </w:r>
    </w:p>
    <w:p>
      <w:pPr>
        <w:spacing w:after="0" w:line="18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Revenues are recognized when control of these services is transferred to the Company's customers, in an amount that reflects the consideration the Company expects to be entitled to in exchange for those services.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7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17" w:lineRule="exact"/>
        <w:rPr>
          <w:sz w:val="20"/>
          <w:szCs w:val="20"/>
          <w:color w:val="auto"/>
        </w:rPr>
      </w:pPr>
    </w:p>
    <w:p>
      <w:pPr>
        <w:ind w:left="1360" w:hanging="205"/>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63" w:lineRule="exact"/>
        <w:rPr>
          <w:rFonts w:ascii="Arial" w:cs="Arial" w:eastAsia="Arial" w:hAnsi="Arial"/>
          <w:sz w:val="18"/>
          <w:szCs w:val="18"/>
          <w:color w:val="auto"/>
        </w:rPr>
      </w:pPr>
    </w:p>
    <w:p>
      <w:pPr>
        <w:ind w:left="1360" w:hanging="205"/>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63" w:lineRule="exact"/>
        <w:rPr>
          <w:rFonts w:ascii="Arial" w:cs="Arial" w:eastAsia="Arial" w:hAnsi="Arial"/>
          <w:sz w:val="18"/>
          <w:szCs w:val="18"/>
          <w:color w:val="auto"/>
        </w:rPr>
      </w:pPr>
    </w:p>
    <w:p>
      <w:pPr>
        <w:ind w:left="1360" w:hanging="205"/>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63" w:lineRule="exact"/>
        <w:rPr>
          <w:rFonts w:ascii="Arial" w:cs="Arial" w:eastAsia="Arial" w:hAnsi="Arial"/>
          <w:sz w:val="18"/>
          <w:szCs w:val="18"/>
          <w:color w:val="auto"/>
        </w:rPr>
      </w:pPr>
    </w:p>
    <w:p>
      <w:pPr>
        <w:ind w:left="1360" w:hanging="205"/>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63" w:lineRule="exact"/>
        <w:rPr>
          <w:rFonts w:ascii="Arial" w:cs="Arial" w:eastAsia="Arial" w:hAnsi="Arial"/>
          <w:sz w:val="18"/>
          <w:szCs w:val="18"/>
          <w:color w:val="auto"/>
        </w:rPr>
      </w:pPr>
    </w:p>
    <w:p>
      <w:pPr>
        <w:ind w:left="1360" w:hanging="205"/>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revenue of $78.1 million and $66.4 million was recognized during the three months ended March 31, 2020 and 2019, respectively.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Hosted Services Business revenue is reported at the amount that reflects the ultimate consideration expected to be received and primarily consist of fees that provide customers access to LiveEngage, the Company’s enterprise-class, cloud-based platform. The Company has determined such access represents a stand-ready service provided continually throughout the contract term. As such, control and satisfaction of this stand-ready performance obligation is deemed to occur over time. The Company recognizes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the Company’s performance. Subscription contracts are generally one year or longer in length, billed, monthly, quarterly or annually in advance. There is no significant variable consideration related to these arrangements. Additionally, 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Gainshare (formerly Pay for Performance) arrangements in accordance with ASC-606, "Principal Agent Considerations," the Company acts as a principal in a transaction if it controls the specified goods or services before they are transferred to the customer.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the Company expects to receive in exchange for such services. Control for the majority of the Company's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March 31, 2020, the aggregate amount of the total transaction price allocated in contracts with original duration of greater than one year to the remaining performance obligations was $214 million. Approximately 90% of the Company’s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cancelable by the customer, amounts associated with optional renewal periods, and any amounts related to performance obligations, which are billed and recognized as they are delivered. The Company has elected the optional exemption, which allows for the exclusion of the amounts for remaining performance obligations that are part of contracts with an original expected duration of one year or less. Such remaining performance obligations represent unsatisfied or partially unsatisfied performance obligation pursuant to ASC 606.</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75"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The Company determines the standalone selling prices based on its overall pricing objectives, taking into consideration market conditions and other factors, including the value of its contracts, the cloud applications sold, and the number and types of users within its contracts.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revenue from the Company's Consumer segment generated from online transactions between Experts and Users, revenue is recognized at an amount net of Expert fees in accordance with ASC 606,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consumer and retains a portion of the fee, and then remits the balance to the Expert. Revenue from these transactions is recognized at the point in time when the transaction is complete and no significant performance obligations remain.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records deferred revenues when cash payments are received or due in advance of the Company’s performance. The increase in the deferred revenue balance as of March 31, 2020 is primarily driven by cash payments received or due in advance of satisfying the Company’s performance obligations, partially offset by $34.0 million of revenues recognized that were included in the deferred revenue balance as of December 31, 2019.</w:t>
      </w: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deferred revenue by revenue source (amounts in thousands):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Deferred Revenue</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00" w:type="dxa"/>
            <w:vAlign w:val="bottom"/>
          </w:tcPr>
          <w:p>
            <w:pPr>
              <w:spacing w:after="0"/>
              <w:rPr>
                <w:sz w:val="13"/>
                <w:szCs w:val="13"/>
                <w:color w:val="auto"/>
              </w:rPr>
            </w:pPr>
          </w:p>
        </w:tc>
        <w:tc>
          <w:tcPr>
            <w:tcW w:w="15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of March 31, 2020</w:t>
            </w:r>
          </w:p>
        </w:tc>
        <w:tc>
          <w:tcPr>
            <w:tcW w:w="134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192"/>
        </w:trPr>
        <w:tc>
          <w:tcPr>
            <w:tcW w:w="830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ind w:right="440"/>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6"/>
                <w:szCs w:val="16"/>
                <w:color w:val="auto"/>
              </w:rPr>
              <w:t>Hosted services – Business</w:t>
            </w:r>
          </w:p>
        </w:tc>
        <w:tc>
          <w:tcPr>
            <w:tcW w:w="520" w:type="dxa"/>
            <w:vAlign w:val="bottom"/>
            <w:tcBorders>
              <w:top w:val="single" w:sz="8" w:color="auto"/>
            </w:tcBorders>
          </w:tcPr>
          <w:p>
            <w:pPr>
              <w:jc w:val="right"/>
              <w:ind w:right="32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77,135</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82,892</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Hosted services – Consumer</w:t>
            </w:r>
          </w:p>
        </w:tc>
        <w:tc>
          <w:tcPr>
            <w:tcW w:w="5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713</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37"/>
        </w:trPr>
        <w:tc>
          <w:tcPr>
            <w:tcW w:w="8300" w:type="dxa"/>
            <w:vAlign w:val="bottom"/>
          </w:tcPr>
          <w:p>
            <w:pPr>
              <w:ind w:left="20"/>
              <w:spacing w:after="0"/>
              <w:rPr>
                <w:sz w:val="20"/>
                <w:szCs w:val="20"/>
                <w:color w:val="auto"/>
              </w:rPr>
            </w:pPr>
            <w:r>
              <w:rPr>
                <w:rFonts w:ascii="Arial" w:cs="Arial" w:eastAsia="Arial" w:hAnsi="Arial"/>
                <w:sz w:val="16"/>
                <w:szCs w:val="16"/>
                <w:color w:val="auto"/>
              </w:rPr>
              <w:t>Professional services – Business</w:t>
            </w:r>
          </w:p>
        </w:tc>
        <w:tc>
          <w:tcPr>
            <w:tcW w:w="52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8,026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5,172</w:t>
            </w:r>
          </w:p>
        </w:tc>
        <w:tc>
          <w:tcPr>
            <w:tcW w:w="0" w:type="dxa"/>
            <w:vAlign w:val="bottom"/>
          </w:tcPr>
          <w:p>
            <w:pPr>
              <w:spacing w:after="0"/>
              <w:rPr>
                <w:sz w:val="1"/>
                <w:szCs w:val="1"/>
                <w:color w:val="auto"/>
              </w:rPr>
            </w:pPr>
          </w:p>
        </w:tc>
      </w:tr>
      <w:tr>
        <w:trPr>
          <w:trHeight w:val="33"/>
        </w:trPr>
        <w:tc>
          <w:tcPr>
            <w:tcW w:w="8300" w:type="dxa"/>
            <w:vAlign w:val="bottom"/>
            <w:tcBorders>
              <w:bottom w:val="single" w:sz="8" w:color="CCFFC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deferred revenue - short term</w:t>
            </w:r>
          </w:p>
        </w:tc>
        <w:tc>
          <w:tcPr>
            <w:tcW w:w="520" w:type="dxa"/>
            <w:vAlign w:val="bottom"/>
            <w:tcBorders>
              <w:bottom w:val="single" w:sz="8" w:color="auto"/>
            </w:tcBorders>
            <w:shd w:val="clear" w:color="auto" w:fill="CCFFCC"/>
          </w:tcPr>
          <w:p>
            <w:pPr>
              <w:jc w:val="right"/>
              <w:ind w:right="32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85,874</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auto"/>
            </w:tcBorders>
            <w:shd w:val="clear" w:color="auto" w:fill="CCFFCC"/>
          </w:tcPr>
          <w:p>
            <w:pPr>
              <w:jc w:val="right"/>
              <w:ind w:right="30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88,751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Professional services – Business</w:t>
            </w:r>
          </w:p>
        </w:tc>
        <w:tc>
          <w:tcPr>
            <w:tcW w:w="520" w:type="dxa"/>
            <w:vAlign w:val="bottom"/>
            <w:tcBorders>
              <w:bottom w:val="single" w:sz="8" w:color="CCFFCC"/>
            </w:tcBorders>
            <w:shd w:val="clear" w:color="auto" w:fill="CCFFCC"/>
          </w:tcPr>
          <w:p>
            <w:pPr>
              <w:spacing w:after="0"/>
              <w:rPr>
                <w:sz w:val="23"/>
                <w:szCs w:val="23"/>
                <w:color w:val="auto"/>
              </w:rPr>
            </w:pPr>
          </w:p>
        </w:tc>
        <w:tc>
          <w:tcPr>
            <w:tcW w:w="9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FFCC"/>
            </w:tcBorders>
            <w:shd w:val="clear" w:color="auto" w:fill="CCFFCC"/>
          </w:tcPr>
          <w:p>
            <w:pPr>
              <w:spacing w:after="0"/>
              <w:rPr>
                <w:sz w:val="23"/>
                <w:szCs w:val="23"/>
                <w:color w:val="auto"/>
              </w:rPr>
            </w:pPr>
          </w:p>
        </w:tc>
        <w:tc>
          <w:tcPr>
            <w:tcW w:w="500" w:type="dxa"/>
            <w:vAlign w:val="bottom"/>
            <w:tcBorders>
              <w:bottom w:val="single" w:sz="8" w:color="CCFFCC"/>
            </w:tcBorders>
            <w:shd w:val="clear" w:color="auto" w:fill="CCFFCC"/>
          </w:tcPr>
          <w:p>
            <w:pPr>
              <w:spacing w:after="0"/>
              <w:rPr>
                <w:sz w:val="23"/>
                <w:szCs w:val="23"/>
                <w:color w:val="auto"/>
              </w:rPr>
            </w:pPr>
          </w:p>
        </w:tc>
        <w:tc>
          <w:tcPr>
            <w:tcW w:w="8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43"/>
        </w:trPr>
        <w:tc>
          <w:tcPr>
            <w:tcW w:w="8300" w:type="dxa"/>
            <w:vAlign w:val="bottom"/>
          </w:tcPr>
          <w:p>
            <w:pPr>
              <w:ind w:left="280"/>
              <w:spacing w:after="0"/>
              <w:rPr>
                <w:sz w:val="20"/>
                <w:szCs w:val="20"/>
                <w:color w:val="auto"/>
              </w:rPr>
            </w:pPr>
            <w:r>
              <w:rPr>
                <w:rFonts w:ascii="Arial" w:cs="Arial" w:eastAsia="Arial" w:hAnsi="Arial"/>
                <w:sz w:val="16"/>
                <w:szCs w:val="16"/>
                <w:color w:val="auto"/>
              </w:rPr>
              <w:t>Total deferred revenue - long term</w:t>
            </w:r>
          </w:p>
        </w:tc>
        <w:tc>
          <w:tcPr>
            <w:tcW w:w="52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revenues disaggregated by revenue source (amounts in thousands):</w:t>
      </w:r>
    </w:p>
    <w:p>
      <w:pPr>
        <w:spacing w:after="0" w:line="230"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Three Months Ended</w:t>
            </w:r>
          </w:p>
        </w:tc>
      </w:tr>
      <w:tr>
        <w:trPr>
          <w:trHeight w:val="250"/>
        </w:trPr>
        <w:tc>
          <w:tcPr>
            <w:tcW w:w="83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21"/>
                <w:szCs w:val="21"/>
                <w:color w:val="auto"/>
              </w:rPr>
            </w:pPr>
          </w:p>
        </w:tc>
      </w:tr>
      <w:tr>
        <w:trPr>
          <w:trHeight w:val="263"/>
        </w:trPr>
        <w:tc>
          <w:tcPr>
            <w:tcW w:w="8360" w:type="dxa"/>
            <w:vAlign w:val="bottom"/>
            <w:tcBorders>
              <w:bottom w:val="single" w:sz="8" w:color="CCFFC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FFC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83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shd w:val="clear" w:color="auto" w:fill="CCFFCC"/>
              </w:rPr>
              <w:t>Revenue:</w:t>
            </w:r>
          </w:p>
        </w:tc>
        <w:tc>
          <w:tcPr>
            <w:tcW w:w="20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8360" w:type="dxa"/>
            <w:vAlign w:val="bottom"/>
          </w:tcPr>
          <w:p>
            <w:pPr>
              <w:ind w:left="160"/>
              <w:spacing w:after="0"/>
              <w:rPr>
                <w:sz w:val="20"/>
                <w:szCs w:val="20"/>
                <w:color w:val="auto"/>
              </w:rPr>
            </w:pPr>
            <w:r>
              <w:rPr>
                <w:rFonts w:ascii="Arial" w:cs="Arial" w:eastAsia="Arial" w:hAnsi="Arial"/>
                <w:sz w:val="16"/>
                <w:szCs w:val="16"/>
                <w:color w:val="auto"/>
              </w:rPr>
              <w:t>Hosted services – Business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61,051</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51,537</w:t>
            </w:r>
          </w:p>
        </w:tc>
      </w:tr>
      <w:tr>
        <w:trPr>
          <w:trHeight w:val="33"/>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3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shd w:val="clear" w:color="auto" w:fill="CCFFCC"/>
              </w:rPr>
              <w:t>Hosted services – Consumer</w:t>
            </w:r>
          </w:p>
        </w:tc>
        <w:tc>
          <w:tcPr>
            <w:tcW w:w="20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6,240</w:t>
            </w:r>
          </w:p>
        </w:tc>
        <w:tc>
          <w:tcPr>
            <w:tcW w:w="1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5,407</w:t>
            </w:r>
          </w:p>
        </w:tc>
      </w:tr>
      <w:tr>
        <w:trPr>
          <w:trHeight w:val="237"/>
        </w:trPr>
        <w:tc>
          <w:tcPr>
            <w:tcW w:w="8360" w:type="dxa"/>
            <w:vAlign w:val="bottom"/>
          </w:tcPr>
          <w:p>
            <w:pPr>
              <w:ind w:left="160"/>
              <w:spacing w:after="0"/>
              <w:rPr>
                <w:sz w:val="20"/>
                <w:szCs w:val="20"/>
                <w:color w:val="auto"/>
              </w:rPr>
            </w:pPr>
            <w:r>
              <w:rPr>
                <w:rFonts w:ascii="Arial" w:cs="Arial" w:eastAsia="Arial" w:hAnsi="Arial"/>
                <w:sz w:val="16"/>
                <w:szCs w:val="16"/>
                <w:color w:val="auto"/>
              </w:rPr>
              <w:t>Professional services</w:t>
            </w:r>
          </w:p>
        </w:tc>
        <w:tc>
          <w:tcPr>
            <w:tcW w:w="200" w:type="dxa"/>
            <w:vAlign w:val="bottom"/>
          </w:tcPr>
          <w:p>
            <w:pPr>
              <w:spacing w:after="0"/>
              <w:rPr>
                <w:sz w:val="20"/>
                <w:szCs w:val="20"/>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10,797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9,458</w:t>
            </w:r>
          </w:p>
        </w:tc>
      </w:tr>
      <w:tr>
        <w:trPr>
          <w:trHeight w:val="33"/>
        </w:trPr>
        <w:tc>
          <w:tcPr>
            <w:tcW w:w="83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83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shd w:val="clear" w:color="auto" w:fill="CCFFCC"/>
              </w:rPr>
              <w:t>Total revenue</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78,088</w:t>
            </w:r>
          </w:p>
        </w:tc>
        <w:tc>
          <w:tcPr>
            <w:tcW w:w="1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66,402</w:t>
            </w:r>
          </w:p>
        </w:tc>
      </w:tr>
      <w:tr>
        <w:trPr>
          <w:trHeight w:val="20"/>
        </w:trPr>
        <w:tc>
          <w:tcPr>
            <w:tcW w:w="83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75"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Geographic Location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Company’s revenues attributable to domestic and foreign operations for the periods presented (amounts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81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
        </w:trPr>
        <w:tc>
          <w:tcPr>
            <w:tcW w:w="810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r>
      <w:tr>
        <w:trPr>
          <w:trHeight w:val="230"/>
        </w:trPr>
        <w:tc>
          <w:tcPr>
            <w:tcW w:w="81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920" w:type="dxa"/>
            <w:vAlign w:val="bottom"/>
            <w:tcBorders>
              <w:bottom w:val="single" w:sz="8" w:color="CCFFCC"/>
            </w:tcBorders>
            <w:shd w:val="clear" w:color="auto" w:fill="CCFFCC"/>
          </w:tcPr>
          <w:p>
            <w:pPr>
              <w:jc w:val="right"/>
              <w:ind w:right="72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89"/>
              </w:rPr>
              <w:t>48,549</w:t>
            </w:r>
          </w:p>
        </w:tc>
        <w:tc>
          <w:tcPr>
            <w:tcW w:w="100" w:type="dxa"/>
            <w:vAlign w:val="bottom"/>
            <w:tcBorders>
              <w:bottom w:val="single" w:sz="8" w:color="CCFFCC"/>
            </w:tcBorders>
            <w:shd w:val="clear" w:color="auto" w:fill="CCFFCC"/>
          </w:tcPr>
          <w:p>
            <w:pPr>
              <w:spacing w:after="0"/>
              <w:rPr>
                <w:sz w:val="20"/>
                <w:szCs w:val="20"/>
                <w:color w:val="auto"/>
              </w:rPr>
            </w:pPr>
          </w:p>
        </w:tc>
        <w:tc>
          <w:tcPr>
            <w:tcW w:w="900" w:type="dxa"/>
            <w:vAlign w:val="bottom"/>
            <w:tcBorders>
              <w:bottom w:val="single" w:sz="8" w:color="CCFFCC"/>
            </w:tcBorders>
            <w:shd w:val="clear" w:color="auto" w:fill="CCFFCC"/>
          </w:tcPr>
          <w:p>
            <w:pPr>
              <w:jc w:val="right"/>
              <w:ind w:right="6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5"/>
              </w:rPr>
              <w:t>38,589</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70"/>
        </w:trPr>
        <w:tc>
          <w:tcPr>
            <w:tcW w:w="810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 xml:space="preserve">Other Americas </w:t>
            </w:r>
            <w:r>
              <w:rPr>
                <w:rFonts w:ascii="Arial" w:cs="Arial" w:eastAsia="Arial" w:hAnsi="Arial"/>
                <w:sz w:val="21"/>
                <w:szCs w:val="21"/>
                <w:color w:val="auto"/>
                <w:vertAlign w:val="superscript"/>
              </w:rPr>
              <w:t>(1)</w:t>
            </w:r>
          </w:p>
        </w:tc>
        <w:tc>
          <w:tcPr>
            <w:tcW w:w="9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FFCC"/>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2,769</w:t>
            </w:r>
          </w:p>
        </w:tc>
        <w:tc>
          <w:tcPr>
            <w:tcW w:w="100" w:type="dxa"/>
            <w:vAlign w:val="bottom"/>
            <w:tcBorders>
              <w:bottom w:val="single" w:sz="8" w:color="CCFFCC"/>
            </w:tcBorders>
          </w:tcPr>
          <w:p>
            <w:pPr>
              <w:spacing w:after="0"/>
              <w:rPr>
                <w:sz w:val="23"/>
                <w:szCs w:val="23"/>
                <w:color w:val="auto"/>
              </w:rPr>
            </w:pPr>
          </w:p>
        </w:tc>
      </w:tr>
      <w:tr>
        <w:trPr>
          <w:trHeight w:val="230"/>
        </w:trPr>
        <w:tc>
          <w:tcPr>
            <w:tcW w:w="81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Americas</w:t>
            </w:r>
          </w:p>
        </w:tc>
        <w:tc>
          <w:tcPr>
            <w:tcW w:w="92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89"/>
              </w:rPr>
              <w:t>50,569</w:t>
            </w:r>
          </w:p>
        </w:tc>
        <w:tc>
          <w:tcPr>
            <w:tcW w:w="100" w:type="dxa"/>
            <w:vAlign w:val="bottom"/>
            <w:tcBorders>
              <w:bottom w:val="single" w:sz="8" w:color="CCFFCC"/>
            </w:tcBorders>
            <w:shd w:val="clear" w:color="auto" w:fill="CCFFCC"/>
          </w:tcPr>
          <w:p>
            <w:pPr>
              <w:spacing w:after="0"/>
              <w:rPr>
                <w:sz w:val="20"/>
                <w:szCs w:val="20"/>
                <w:color w:val="auto"/>
              </w:rPr>
            </w:pPr>
          </w:p>
        </w:tc>
        <w:tc>
          <w:tcPr>
            <w:tcW w:w="90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5"/>
              </w:rPr>
              <w:t>41,358</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70"/>
        </w:trPr>
        <w:tc>
          <w:tcPr>
            <w:tcW w:w="810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EMEA</w:t>
            </w:r>
            <w:r>
              <w:rPr>
                <w:rFonts w:ascii="Arial" w:cs="Arial" w:eastAsia="Arial" w:hAnsi="Arial"/>
                <w:sz w:val="11"/>
                <w:szCs w:val="11"/>
                <w:color w:val="auto"/>
              </w:rPr>
              <w:t xml:space="preserve"> (2) (4)</w:t>
            </w:r>
          </w:p>
        </w:tc>
        <w:tc>
          <w:tcPr>
            <w:tcW w:w="920" w:type="dxa"/>
            <w:vAlign w:val="bottom"/>
          </w:tcPr>
          <w:p>
            <w:pPr>
              <w:spacing w:after="0"/>
              <w:rPr>
                <w:sz w:val="23"/>
                <w:szCs w:val="23"/>
                <w:color w:val="auto"/>
              </w:rPr>
            </w:pPr>
          </w:p>
        </w:tc>
        <w:tc>
          <w:tcPr>
            <w:tcW w:w="560" w:type="dxa"/>
            <w:vAlign w:val="bottom"/>
          </w:tcPr>
          <w:p>
            <w:pPr>
              <w:jc w:val="right"/>
              <w:ind w:right="20"/>
              <w:spacing w:after="0"/>
              <w:rPr>
                <w:sz w:val="20"/>
                <w:szCs w:val="20"/>
                <w:color w:val="auto"/>
              </w:rPr>
            </w:pPr>
            <w:r>
              <w:rPr>
                <w:rFonts w:ascii="Arial" w:cs="Arial" w:eastAsia="Arial" w:hAnsi="Arial"/>
                <w:sz w:val="16"/>
                <w:szCs w:val="16"/>
                <w:color w:val="auto"/>
                <w:w w:val="89"/>
              </w:rPr>
              <w:t>19,491</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w w:val="85"/>
              </w:rPr>
              <w:t>18,113</w:t>
            </w:r>
          </w:p>
        </w:tc>
        <w:tc>
          <w:tcPr>
            <w:tcW w:w="100" w:type="dxa"/>
            <w:vAlign w:val="bottom"/>
          </w:tcPr>
          <w:p>
            <w:pPr>
              <w:spacing w:after="0"/>
              <w:rPr>
                <w:sz w:val="23"/>
                <w:szCs w:val="23"/>
                <w:color w:val="auto"/>
              </w:rPr>
            </w:pPr>
          </w:p>
        </w:tc>
      </w:tr>
      <w:tr>
        <w:trPr>
          <w:trHeight w:val="270"/>
        </w:trPr>
        <w:tc>
          <w:tcPr>
            <w:tcW w:w="810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APAC </w:t>
            </w:r>
            <w:r>
              <w:rPr>
                <w:rFonts w:ascii="Arial" w:cs="Arial" w:eastAsia="Arial" w:hAnsi="Arial"/>
                <w:sz w:val="21"/>
                <w:szCs w:val="21"/>
                <w:color w:val="auto"/>
                <w:vertAlign w:val="superscript"/>
              </w:rPr>
              <w:t>(3)</w:t>
            </w:r>
          </w:p>
        </w:tc>
        <w:tc>
          <w:tcPr>
            <w:tcW w:w="920" w:type="dxa"/>
            <w:vAlign w:val="bottom"/>
            <w:tcBorders>
              <w:bottom w:val="single" w:sz="8" w:color="auto"/>
            </w:tcBorders>
            <w:shd w:val="clear" w:color="auto" w:fill="CCFFCC"/>
          </w:tcPr>
          <w:p>
            <w:pPr>
              <w:spacing w:after="0"/>
              <w:rPr>
                <w:sz w:val="23"/>
                <w:szCs w:val="23"/>
                <w:color w:val="auto"/>
              </w:rPr>
            </w:pPr>
          </w:p>
        </w:tc>
        <w:tc>
          <w:tcPr>
            <w:tcW w:w="56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8,028</w:t>
            </w:r>
          </w:p>
        </w:tc>
        <w:tc>
          <w:tcPr>
            <w:tcW w:w="100" w:type="dxa"/>
            <w:vAlign w:val="bottom"/>
            <w:shd w:val="clear" w:color="auto" w:fill="CCFFCC"/>
          </w:tcPr>
          <w:p>
            <w:pPr>
              <w:spacing w:after="0"/>
              <w:rPr>
                <w:sz w:val="23"/>
                <w:szCs w:val="23"/>
                <w:color w:val="auto"/>
              </w:rPr>
            </w:pPr>
          </w:p>
        </w:tc>
        <w:tc>
          <w:tcPr>
            <w:tcW w:w="900" w:type="dxa"/>
            <w:vAlign w:val="bottom"/>
            <w:tcBorders>
              <w:bottom w:val="single" w:sz="8" w:color="auto"/>
            </w:tcBorders>
            <w:shd w:val="clear" w:color="auto" w:fill="CCFFCC"/>
          </w:tcPr>
          <w:p>
            <w:pPr>
              <w:spacing w:after="0"/>
              <w:rPr>
                <w:sz w:val="23"/>
                <w:szCs w:val="23"/>
                <w:color w:val="auto"/>
              </w:rPr>
            </w:pPr>
          </w:p>
        </w:tc>
        <w:tc>
          <w:tcPr>
            <w:tcW w:w="5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6,931</w:t>
            </w:r>
          </w:p>
        </w:tc>
        <w:tc>
          <w:tcPr>
            <w:tcW w:w="100" w:type="dxa"/>
            <w:vAlign w:val="bottom"/>
            <w:shd w:val="clear" w:color="auto" w:fill="CCFFCC"/>
          </w:tcPr>
          <w:p>
            <w:pPr>
              <w:spacing w:after="0"/>
              <w:rPr>
                <w:sz w:val="23"/>
                <w:szCs w:val="23"/>
                <w:color w:val="auto"/>
              </w:rPr>
            </w:pPr>
          </w:p>
        </w:tc>
      </w:tr>
      <w:tr>
        <w:trPr>
          <w:trHeight w:val="244"/>
        </w:trPr>
        <w:tc>
          <w:tcPr>
            <w:tcW w:w="810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92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78,088</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5"/>
              </w:rPr>
              <w:t>66,402</w:t>
            </w:r>
          </w:p>
        </w:tc>
        <w:tc>
          <w:tcPr>
            <w:tcW w:w="100" w:type="dxa"/>
            <w:vAlign w:val="bottom"/>
          </w:tcPr>
          <w:p>
            <w:pPr>
              <w:spacing w:after="0"/>
              <w:rPr>
                <w:sz w:val="21"/>
                <w:szCs w:val="21"/>
                <w:color w:val="auto"/>
              </w:rPr>
            </w:pPr>
          </w:p>
        </w:tc>
      </w:tr>
      <w:tr>
        <w:trPr>
          <w:trHeight w:val="20"/>
        </w:trPr>
        <w:tc>
          <w:tcPr>
            <w:tcW w:w="8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Canada, Latin America and South America</w:t>
      </w:r>
    </w:p>
    <w:p>
      <w:pPr>
        <w:ind w:left="180" w:hanging="172"/>
        <w:spacing w:after="0" w:line="187" w:lineRule="auto"/>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Europe, the Middle East and Africa (“EMEA”)</w:t>
      </w:r>
    </w:p>
    <w:p>
      <w:pPr>
        <w:ind w:left="180" w:hanging="172"/>
        <w:spacing w:after="0" w:line="191" w:lineRule="auto"/>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Asia-Pacific (“APAC”)</w:t>
      </w:r>
    </w:p>
    <w:p>
      <w:pPr>
        <w:spacing w:after="0" w:line="10" w:lineRule="exact"/>
        <w:rPr>
          <w:rFonts w:ascii="Arial" w:cs="Arial" w:eastAsia="Arial" w:hAnsi="Arial"/>
          <w:sz w:val="21"/>
          <w:szCs w:val="21"/>
          <w:color w:val="auto"/>
          <w:vertAlign w:val="superscript"/>
        </w:rPr>
      </w:pPr>
    </w:p>
    <w:p>
      <w:pPr>
        <w:ind w:right="660" w:firstLine="8"/>
        <w:spacing w:after="0" w:line="264" w:lineRule="auto"/>
        <w:tabs>
          <w:tab w:leader="none" w:pos="166"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Includes revenues from the United Kingdom of $12.6 million and $11.7 million for the three months ended March 31, 2020 and 2019, respectively, and from the Netherlands of $1.3 million and $2.5 million for the three months ended March 31, 2020 and 2019,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about Contract Balances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Amounts collected in advance of services being provided are accounted for as deferred revenue. Nearly all of the Company's deferred revenue balance is related to </w:t>
      </w:r>
      <w:r>
        <w:rPr>
          <w:rFonts w:ascii="Arial" w:cs="Arial" w:eastAsia="Arial" w:hAnsi="Arial"/>
          <w:sz w:val="18"/>
          <w:szCs w:val="18"/>
          <w:i w:val="1"/>
          <w:iCs w:val="1"/>
          <w:color w:val="auto"/>
        </w:rPr>
        <w:t>Hosted Services - Business Revenue.</w:t>
      </w:r>
    </w:p>
    <w:p>
      <w:pPr>
        <w:spacing w:after="0" w:line="6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some arrangements, the Company allows customers to pay for access to LiveEngage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condensed consolidated balance sheet. The opening and closing balances of the Company's accounts receivable, unbilled receivables, and deferred revenues are as follows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64"/>
              <w:spacing w:after="0"/>
              <w:rPr>
                <w:sz w:val="20"/>
                <w:szCs w:val="20"/>
                <w:color w:val="auto"/>
              </w:rPr>
            </w:pPr>
            <w:r>
              <w:rPr>
                <w:rFonts w:ascii="Arial" w:cs="Arial" w:eastAsia="Arial" w:hAnsi="Arial"/>
                <w:sz w:val="14"/>
                <w:szCs w:val="14"/>
                <w:b w:val="1"/>
                <w:bCs w:val="1"/>
                <w:color w:val="auto"/>
                <w:w w:val="97"/>
              </w:rPr>
              <w:t>Contract</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5"/>
        </w:trPr>
        <w:tc>
          <w:tcPr>
            <w:tcW w:w="406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Accounts Receivable</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Unbilled Receivable</w:t>
            </w:r>
          </w:p>
        </w:tc>
        <w:tc>
          <w:tcPr>
            <w:tcW w:w="120" w:type="dxa"/>
            <w:vAlign w:val="bottom"/>
          </w:tcPr>
          <w:p>
            <w:pPr>
              <w:spacing w:after="0"/>
              <w:rPr>
                <w:sz w:val="16"/>
                <w:szCs w:val="16"/>
                <w:color w:val="auto"/>
              </w:rPr>
            </w:pPr>
          </w:p>
        </w:tc>
        <w:tc>
          <w:tcPr>
            <w:tcW w:w="1220" w:type="dxa"/>
            <w:vAlign w:val="bottom"/>
          </w:tcPr>
          <w:p>
            <w:pPr>
              <w:jc w:val="center"/>
              <w:ind w:right="64"/>
              <w:spacing w:after="0"/>
              <w:rPr>
                <w:sz w:val="20"/>
                <w:szCs w:val="20"/>
                <w:color w:val="auto"/>
              </w:rPr>
            </w:pPr>
            <w:r>
              <w:rPr>
                <w:rFonts w:ascii="Arial" w:cs="Arial" w:eastAsia="Arial" w:hAnsi="Arial"/>
                <w:sz w:val="14"/>
                <w:szCs w:val="14"/>
                <w:b w:val="1"/>
                <w:bCs w:val="1"/>
                <w:color w:val="auto"/>
                <w:w w:val="90"/>
              </w:rPr>
              <w:t>Acquisition Costs</w:t>
            </w:r>
          </w:p>
        </w:tc>
        <w:tc>
          <w:tcPr>
            <w:tcW w:w="2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Deferred Revenue</w:t>
            </w:r>
          </w:p>
        </w:tc>
        <w:tc>
          <w:tcPr>
            <w:tcW w:w="120" w:type="dxa"/>
            <w:vAlign w:val="bottom"/>
          </w:tcPr>
          <w:p>
            <w:pPr>
              <w:spacing w:after="0"/>
              <w:rPr>
                <w:sz w:val="16"/>
                <w:szCs w:val="16"/>
                <w:color w:val="auto"/>
              </w:rPr>
            </w:pPr>
          </w:p>
        </w:tc>
        <w:tc>
          <w:tcPr>
            <w:tcW w:w="1220" w:type="dxa"/>
            <w:vAlign w:val="bottom"/>
          </w:tcPr>
          <w:p>
            <w:pPr>
              <w:jc w:val="right"/>
              <w:ind w:right="43"/>
              <w:spacing w:after="0"/>
              <w:rPr>
                <w:sz w:val="20"/>
                <w:szCs w:val="20"/>
                <w:color w:val="auto"/>
              </w:rPr>
            </w:pPr>
            <w:r>
              <w:rPr>
                <w:rFonts w:ascii="Arial" w:cs="Arial" w:eastAsia="Arial" w:hAnsi="Arial"/>
                <w:sz w:val="14"/>
                <w:szCs w:val="14"/>
                <w:b w:val="1"/>
                <w:bCs w:val="1"/>
                <w:color w:val="auto"/>
                <w:w w:val="90"/>
              </w:rPr>
              <w:t>Deferred Revenue</w:t>
            </w:r>
          </w:p>
        </w:tc>
      </w:tr>
      <w:tr>
        <w:trPr>
          <w:trHeight w:val="162"/>
        </w:trPr>
        <w:tc>
          <w:tcPr>
            <w:tcW w:w="4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568"/>
              <w:spacing w:after="0"/>
              <w:rPr>
                <w:sz w:val="20"/>
                <w:szCs w:val="20"/>
                <w:color w:val="auto"/>
              </w:rPr>
            </w:pPr>
            <w:r>
              <w:rPr>
                <w:rFonts w:ascii="Arial" w:cs="Arial" w:eastAsia="Arial" w:hAnsi="Arial"/>
                <w:sz w:val="9"/>
                <w:szCs w:val="9"/>
                <w:b w:val="1"/>
                <w:bCs w:val="1"/>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548"/>
              <w:spacing w:after="0"/>
              <w:rPr>
                <w:sz w:val="20"/>
                <w:szCs w:val="20"/>
                <w:color w:val="auto"/>
              </w:rPr>
            </w:pPr>
            <w:r>
              <w:rPr>
                <w:rFonts w:ascii="Arial" w:cs="Arial" w:eastAsia="Arial" w:hAnsi="Arial"/>
                <w:sz w:val="9"/>
                <w:szCs w:val="9"/>
                <w:b w:val="1"/>
                <w:bCs w:val="1"/>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noncurrent</w:t>
            </w:r>
          </w:p>
        </w:tc>
        <w:tc>
          <w:tcPr>
            <w:tcW w:w="2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(current)</w:t>
            </w:r>
          </w:p>
        </w:tc>
        <w:tc>
          <w:tcPr>
            <w:tcW w:w="120" w:type="dxa"/>
            <w:vAlign w:val="bottom"/>
          </w:tcPr>
          <w:p>
            <w:pPr>
              <w:spacing w:after="0"/>
              <w:rPr>
                <w:sz w:val="14"/>
                <w:szCs w:val="14"/>
                <w:color w:val="auto"/>
              </w:rPr>
            </w:pPr>
          </w:p>
        </w:tc>
        <w:tc>
          <w:tcPr>
            <w:tcW w:w="1220" w:type="dxa"/>
            <w:vAlign w:val="bottom"/>
          </w:tcPr>
          <w:p>
            <w:pPr>
              <w:jc w:val="right"/>
              <w:ind w:right="243"/>
              <w:spacing w:after="0"/>
              <w:rPr>
                <w:sz w:val="20"/>
                <w:szCs w:val="20"/>
                <w:color w:val="auto"/>
              </w:rPr>
            </w:pPr>
            <w:r>
              <w:rPr>
                <w:rFonts w:ascii="Arial" w:cs="Arial" w:eastAsia="Arial" w:hAnsi="Arial"/>
                <w:sz w:val="14"/>
                <w:szCs w:val="14"/>
                <w:b w:val="1"/>
                <w:bCs w:val="1"/>
                <w:color w:val="auto"/>
              </w:rPr>
              <w:t>(long term)</w:t>
            </w:r>
          </w:p>
        </w:tc>
      </w:tr>
      <w:tr>
        <w:trPr>
          <w:trHeight w:val="243"/>
        </w:trPr>
        <w:tc>
          <w:tcPr>
            <w:tcW w:w="4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Opening Balance as of December 31, 2019</w:t>
            </w:r>
          </w:p>
        </w:tc>
        <w:tc>
          <w:tcPr>
            <w:tcW w:w="380" w:type="dxa"/>
            <w:vAlign w:val="bottom"/>
            <w:tcBorders>
              <w:top w:val="single" w:sz="8" w:color="auto"/>
              <w:bottom w:val="single" w:sz="8" w:color="CCFFCC"/>
            </w:tcBorders>
            <w:shd w:val="clear" w:color="auto" w:fill="CCFFCC"/>
          </w:tcPr>
          <w:p>
            <w:pPr>
              <w:jc w:val="right"/>
              <w:ind w:right="20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FFCC"/>
            </w:tcBorders>
            <w:shd w:val="clear" w:color="auto" w:fill="CCFFCC"/>
          </w:tcPr>
          <w:p>
            <w:pPr>
              <w:jc w:val="right"/>
              <w:ind w:right="48"/>
              <w:spacing w:after="0"/>
              <w:rPr>
                <w:sz w:val="20"/>
                <w:szCs w:val="20"/>
                <w:color w:val="auto"/>
              </w:rPr>
            </w:pPr>
            <w:r>
              <w:rPr>
                <w:rFonts w:ascii="Arial" w:cs="Arial" w:eastAsia="Arial" w:hAnsi="Arial"/>
                <w:sz w:val="16"/>
                <w:szCs w:val="16"/>
                <w:color w:val="auto"/>
              </w:rPr>
              <w:t>70,318</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360" w:type="dxa"/>
            <w:vAlign w:val="bottom"/>
            <w:tcBorders>
              <w:top w:val="single" w:sz="8" w:color="auto"/>
              <w:bottom w:val="single" w:sz="8" w:color="CCFFCC"/>
            </w:tcBorders>
            <w:shd w:val="clear" w:color="auto" w:fill="CCFFCC"/>
          </w:tcPr>
          <w:p>
            <w:pPr>
              <w:jc w:val="right"/>
              <w:ind w:right="18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FFCC"/>
            </w:tcBorders>
            <w:shd w:val="clear" w:color="auto" w:fill="CCFFCC"/>
          </w:tcPr>
          <w:p>
            <w:pPr>
              <w:jc w:val="right"/>
              <w:ind w:right="28"/>
              <w:spacing w:after="0"/>
              <w:rPr>
                <w:sz w:val="20"/>
                <w:szCs w:val="20"/>
                <w:color w:val="auto"/>
              </w:rPr>
            </w:pPr>
            <w:r>
              <w:rPr>
                <w:rFonts w:ascii="Arial" w:cs="Arial" w:eastAsia="Arial" w:hAnsi="Arial"/>
                <w:sz w:val="16"/>
                <w:szCs w:val="16"/>
                <w:color w:val="auto"/>
              </w:rPr>
              <w:t>17,302</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FFCC"/>
            </w:tcBorders>
            <w:shd w:val="clear" w:color="auto" w:fill="CCFFCC"/>
          </w:tcPr>
          <w:p>
            <w:pPr>
              <w:jc w:val="right"/>
              <w:ind w:right="44"/>
              <w:spacing w:after="0"/>
              <w:rPr>
                <w:sz w:val="20"/>
                <w:szCs w:val="20"/>
                <w:color w:val="auto"/>
              </w:rPr>
            </w:pPr>
            <w:r>
              <w:rPr>
                <w:rFonts w:ascii="Arial" w:cs="Arial" w:eastAsia="Arial" w:hAnsi="Arial"/>
                <w:sz w:val="16"/>
                <w:szCs w:val="16"/>
                <w:color w:val="auto"/>
              </w:rPr>
              <w:t>31,965</w:t>
            </w:r>
          </w:p>
        </w:tc>
        <w:tc>
          <w:tcPr>
            <w:tcW w:w="20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88,751</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438</w:t>
            </w:r>
          </w:p>
        </w:tc>
      </w:tr>
      <w:tr>
        <w:trPr>
          <w:trHeight w:val="237"/>
        </w:trPr>
        <w:tc>
          <w:tcPr>
            <w:tcW w:w="4060" w:type="dxa"/>
            <w:vAlign w:val="bottom"/>
          </w:tcPr>
          <w:p>
            <w:pPr>
              <w:ind w:left="180"/>
              <w:spacing w:after="0"/>
              <w:rPr>
                <w:sz w:val="20"/>
                <w:szCs w:val="20"/>
                <w:color w:val="auto"/>
              </w:rPr>
            </w:pPr>
            <w:r>
              <w:rPr>
                <w:rFonts w:ascii="Arial" w:cs="Arial" w:eastAsia="Arial" w:hAnsi="Arial"/>
                <w:sz w:val="16"/>
                <w:szCs w:val="16"/>
                <w:color w:val="auto"/>
              </w:rPr>
              <w:t>(Decrease) Increase, net</w:t>
            </w:r>
          </w:p>
        </w:tc>
        <w:tc>
          <w:tcPr>
            <w:tcW w:w="380" w:type="dxa"/>
            <w:vAlign w:val="bottom"/>
          </w:tcPr>
          <w:p>
            <w:pPr>
              <w:spacing w:after="0"/>
              <w:rPr>
                <w:sz w:val="20"/>
                <w:szCs w:val="20"/>
                <w:color w:val="auto"/>
              </w:rPr>
            </w:pPr>
          </w:p>
        </w:tc>
        <w:tc>
          <w:tcPr>
            <w:tcW w:w="1000" w:type="dxa"/>
            <w:vAlign w:val="bottom"/>
          </w:tcPr>
          <w:p>
            <w:pPr>
              <w:jc w:val="right"/>
              <w:ind w:right="8"/>
              <w:spacing w:after="0"/>
              <w:rPr>
                <w:sz w:val="20"/>
                <w:szCs w:val="20"/>
                <w:color w:val="auto"/>
              </w:rPr>
            </w:pPr>
            <w:r>
              <w:rPr>
                <w:rFonts w:ascii="Arial" w:cs="Arial" w:eastAsia="Arial" w:hAnsi="Arial"/>
                <w:sz w:val="16"/>
                <w:szCs w:val="16"/>
                <w:color w:val="auto"/>
              </w:rPr>
              <w:t>(25,052)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1,642</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(409)</w:t>
            </w:r>
          </w:p>
        </w:tc>
      </w:tr>
      <w:tr>
        <w:trPr>
          <w:trHeight w:val="33"/>
        </w:trPr>
        <w:tc>
          <w:tcPr>
            <w:tcW w:w="4060" w:type="dxa"/>
            <w:vAlign w:val="bottom"/>
            <w:tcBorders>
              <w:bottom w:val="single" w:sz="8" w:color="CCFFC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Ending Balance as of March 31, 2020</w:t>
            </w:r>
          </w:p>
        </w:tc>
        <w:tc>
          <w:tcPr>
            <w:tcW w:w="380" w:type="dxa"/>
            <w:vAlign w:val="bottom"/>
            <w:tcBorders>
              <w:bottom w:val="single" w:sz="8" w:color="auto"/>
            </w:tcBorders>
            <w:shd w:val="clear" w:color="auto" w:fill="CCFFCC"/>
          </w:tcPr>
          <w:p>
            <w:pPr>
              <w:jc w:val="right"/>
              <w:ind w:right="20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6"/>
                <w:szCs w:val="16"/>
                <w:color w:val="auto"/>
              </w:rPr>
              <w:t>45,266</w:t>
            </w:r>
          </w:p>
        </w:tc>
        <w:tc>
          <w:tcPr>
            <w:tcW w:w="120" w:type="dxa"/>
            <w:vAlign w:val="bottom"/>
            <w:tcBorders>
              <w:bottom w:val="single" w:sz="8" w:color="CCFFCC"/>
            </w:tcBorders>
            <w:shd w:val="clear" w:color="auto" w:fill="CCFFCC"/>
          </w:tcPr>
          <w:p>
            <w:pPr>
              <w:spacing w:after="0"/>
              <w:rPr>
                <w:sz w:val="22"/>
                <w:szCs w:val="22"/>
                <w:color w:val="auto"/>
              </w:rPr>
            </w:pPr>
          </w:p>
        </w:tc>
        <w:tc>
          <w:tcPr>
            <w:tcW w:w="360" w:type="dxa"/>
            <w:vAlign w:val="bottom"/>
            <w:tcBorders>
              <w:bottom w:val="single" w:sz="8" w:color="auto"/>
            </w:tcBorders>
            <w:shd w:val="clear" w:color="auto" w:fill="CCFFCC"/>
          </w:tcPr>
          <w:p>
            <w:pPr>
              <w:jc w:val="right"/>
              <w:ind w:right="18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6"/>
                <w:szCs w:val="16"/>
                <w:color w:val="auto"/>
              </w:rPr>
              <w:t>15,816</w:t>
            </w:r>
          </w:p>
        </w:tc>
        <w:tc>
          <w:tcPr>
            <w:tcW w:w="1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44"/>
              <w:spacing w:after="0"/>
              <w:rPr>
                <w:sz w:val="20"/>
                <w:szCs w:val="20"/>
                <w:color w:val="auto"/>
              </w:rPr>
            </w:pPr>
            <w:r>
              <w:rPr>
                <w:rFonts w:ascii="Arial" w:cs="Arial" w:eastAsia="Arial" w:hAnsi="Arial"/>
                <w:sz w:val="16"/>
                <w:szCs w:val="16"/>
                <w:color w:val="auto"/>
              </w:rPr>
              <w:t>33,607</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85,874</w:t>
            </w:r>
          </w:p>
        </w:tc>
        <w:tc>
          <w:tcPr>
            <w:tcW w:w="1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29</w:t>
            </w:r>
          </w:p>
        </w:tc>
      </w:tr>
      <w:tr>
        <w:trPr>
          <w:trHeight w:val="20"/>
        </w:trPr>
        <w:tc>
          <w:tcPr>
            <w:tcW w:w="4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b w:val="1"/>
          <w:bCs w:val="1"/>
          <w:color w:val="auto"/>
          <w:vertAlign w:val="superscript"/>
        </w:rPr>
      </w:pPr>
      <w:r>
        <w:rPr>
          <w:rFonts w:ascii="Arial" w:cs="Arial" w:eastAsia="Arial" w:hAnsi="Arial"/>
          <w:sz w:val="16"/>
          <w:szCs w:val="16"/>
          <w:color w:val="auto"/>
        </w:rPr>
        <w:t>These accounts include the $0.7 million adjustment in connection with the adoption of ASU 2016-13 (Topic 326).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which are included in accrued liabilities and other long-term liabilities) on the condensed consolidated balance sheet. Under the typical payment terms of our over time contracts, the customer pays us either performance-based payments or progress payments. Amounts billed and due from our customers are classified as receivables on the condensed consolidated balance sheet. Accounts receivable is presented net of an allowance for doubtful accounts and sales reserve of $3.6 million and $3.1 million at March 31, 2020, respectively and $3.1 million and $1.1 million at December 31, 2019, respectively.</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allowance for doubtful accounts is established to recognize expected credit losses on accounts receivable balances. Judgment is required in the estimation of the allowance and the Company evaluates the collectability of its accounts receivable based on a combination of factors. If the Company becomes aware of a customer’s inability to meet its financial obligations, a specific allowance is recorded to reduce the net receivable to the amount reasonably believed to be collectible from the customer. For all other customers, the Company uses an aging schedule and recognize allowances for doubtful accounts based on the</w:t>
      </w:r>
    </w:p>
    <w:p>
      <w:pPr>
        <w:sectPr>
          <w:pgSz w:w="11900" w:h="16838" w:orient="portrait"/>
          <w:cols w:equalWidth="0" w:num="1">
            <w:col w:w="11240"/>
          </w:cols>
          <w:pgMar w:left="320" w:top="175"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75"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creditworthiness of the debtor, the age and status of outstanding receivables, the current business environment and its historical collection experience adjusted for current expectations for the customers or industry. Accounts receivable are written off against the allowance for uncollectible accounts when the Company determines amounts are no longer collectible.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5"/>
              </w:rPr>
              <w:t>Three Months</w:t>
            </w:r>
          </w:p>
        </w:tc>
      </w:tr>
      <w:tr>
        <w:trPr>
          <w:trHeight w:val="249"/>
        </w:trPr>
        <w:tc>
          <w:tcPr>
            <w:tcW w:w="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9"/>
              </w:rPr>
              <w:t>March 31,</w:t>
            </w:r>
          </w:p>
        </w:tc>
      </w:tr>
      <w:tr>
        <w:trPr>
          <w:trHeight w:val="176"/>
        </w:trPr>
        <w:tc>
          <w:tcPr>
            <w:tcW w:w="40" w:type="dxa"/>
            <w:vAlign w:val="bottom"/>
          </w:tcPr>
          <w:p>
            <w:pPr>
              <w:spacing w:after="0"/>
              <w:rPr>
                <w:sz w:val="15"/>
                <w:szCs w:val="15"/>
                <w:color w:val="auto"/>
              </w:rPr>
            </w:pPr>
          </w:p>
        </w:tc>
        <w:tc>
          <w:tcPr>
            <w:tcW w:w="332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b w:val="1"/>
                <w:bCs w:val="1"/>
                <w:color w:val="auto"/>
                <w:w w:val="89"/>
              </w:rPr>
              <w:t>Allowance for doubtful accounts (in thousands):</w:t>
            </w:r>
          </w:p>
        </w:tc>
        <w:tc>
          <w:tcPr>
            <w:tcW w:w="6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44"/>
              <w:spacing w:after="0"/>
              <w:rPr>
                <w:sz w:val="20"/>
                <w:szCs w:val="20"/>
                <w:color w:val="auto"/>
              </w:rPr>
            </w:pPr>
            <w:r>
              <w:rPr>
                <w:rFonts w:ascii="Arial" w:cs="Arial" w:eastAsia="Arial" w:hAnsi="Arial"/>
                <w:sz w:val="14"/>
                <w:szCs w:val="14"/>
                <w:b w:val="1"/>
                <w:bCs w:val="1"/>
                <w:color w:val="auto"/>
                <w:w w:val="89"/>
              </w:rPr>
              <w:t>2020</w:t>
            </w:r>
          </w:p>
        </w:tc>
      </w:tr>
      <w:tr>
        <w:trPr>
          <w:trHeight w:val="48"/>
        </w:trPr>
        <w:tc>
          <w:tcPr>
            <w:tcW w:w="40" w:type="dxa"/>
            <w:vAlign w:val="bottom"/>
            <w:tcBorders>
              <w:bottom w:val="single" w:sz="8" w:color="CCFFCC"/>
            </w:tcBorders>
          </w:tcPr>
          <w:p>
            <w:pPr>
              <w:spacing w:after="0"/>
              <w:rPr>
                <w:sz w:val="4"/>
                <w:szCs w:val="4"/>
                <w:color w:val="auto"/>
              </w:rPr>
            </w:pPr>
          </w:p>
        </w:tc>
        <w:tc>
          <w:tcPr>
            <w:tcW w:w="3320" w:type="dxa"/>
            <w:vAlign w:val="bottom"/>
            <w:tcBorders>
              <w:bottom w:val="single" w:sz="8" w:color="CCFFCC"/>
            </w:tcBorders>
          </w:tcPr>
          <w:p>
            <w:pPr>
              <w:spacing w:after="0"/>
              <w:rPr>
                <w:sz w:val="4"/>
                <w:szCs w:val="4"/>
                <w:color w:val="auto"/>
              </w:rPr>
            </w:pPr>
          </w:p>
        </w:tc>
        <w:tc>
          <w:tcPr>
            <w:tcW w:w="6320" w:type="dxa"/>
            <w:vAlign w:val="bottom"/>
            <w:tcBorders>
              <w:bottom w:val="single" w:sz="8" w:color="CCFFCC"/>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30"/>
        </w:trPr>
        <w:tc>
          <w:tcPr>
            <w:tcW w:w="40" w:type="dxa"/>
            <w:vAlign w:val="bottom"/>
            <w:tcBorders>
              <w:bottom w:val="single" w:sz="8" w:color="CCFFCC"/>
            </w:tcBorders>
            <w:shd w:val="clear" w:color="auto" w:fill="CCFFCC"/>
          </w:tcPr>
          <w:p>
            <w:pPr>
              <w:spacing w:after="0"/>
              <w:rPr>
                <w:sz w:val="20"/>
                <w:szCs w:val="20"/>
                <w:color w:val="auto"/>
              </w:rPr>
            </w:pPr>
          </w:p>
        </w:tc>
        <w:tc>
          <w:tcPr>
            <w:tcW w:w="96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6"/>
                <w:szCs w:val="16"/>
                <w:color w:val="auto"/>
              </w:rPr>
              <w:t>Balance at beginning of year, as adjusted for the adoption of ASU 2016-13 (Topic 326)</w:t>
            </w:r>
          </w:p>
        </w:tc>
        <w:tc>
          <w:tcPr>
            <w:tcW w:w="2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6"/>
                <w:szCs w:val="16"/>
                <w:color w:val="auto"/>
              </w:rPr>
              <w:t>2,341</w:t>
            </w:r>
          </w:p>
        </w:tc>
      </w:tr>
      <w:tr>
        <w:trPr>
          <w:trHeight w:val="223"/>
        </w:trPr>
        <w:tc>
          <w:tcPr>
            <w:tcW w:w="40" w:type="dxa"/>
            <w:vAlign w:val="bottom"/>
          </w:tcPr>
          <w:p>
            <w:pPr>
              <w:spacing w:after="0"/>
              <w:rPr>
                <w:sz w:val="19"/>
                <w:szCs w:val="19"/>
                <w:color w:val="auto"/>
              </w:rPr>
            </w:pPr>
          </w:p>
        </w:tc>
        <w:tc>
          <w:tcPr>
            <w:tcW w:w="9640" w:type="dxa"/>
            <w:vAlign w:val="bottom"/>
            <w:gridSpan w:val="2"/>
          </w:tcPr>
          <w:p>
            <w:pPr>
              <w:ind w:left="140"/>
              <w:spacing w:after="0"/>
              <w:rPr>
                <w:sz w:val="20"/>
                <w:szCs w:val="20"/>
                <w:color w:val="auto"/>
              </w:rPr>
            </w:pPr>
            <w:r>
              <w:rPr>
                <w:rFonts w:ascii="Arial" w:cs="Arial" w:eastAsia="Arial" w:hAnsi="Arial"/>
                <w:sz w:val="16"/>
                <w:szCs w:val="16"/>
                <w:color w:val="auto"/>
              </w:rPr>
              <w:t>Accruals for credit loss charged to expense, net</w:t>
            </w:r>
          </w:p>
        </w:tc>
        <w:tc>
          <w:tcPr>
            <w:tcW w:w="220" w:type="dxa"/>
            <w:vAlign w:val="bottom"/>
          </w:tcPr>
          <w:p>
            <w:pPr>
              <w:spacing w:after="0"/>
              <w:rPr>
                <w:sz w:val="19"/>
                <w:szCs w:val="19"/>
                <w:color w:val="auto"/>
              </w:rPr>
            </w:pPr>
          </w:p>
        </w:tc>
        <w:tc>
          <w:tcPr>
            <w:tcW w:w="1340" w:type="dxa"/>
            <w:vAlign w:val="bottom"/>
          </w:tcPr>
          <w:p>
            <w:pPr>
              <w:jc w:val="right"/>
              <w:ind w:right="24"/>
              <w:spacing w:after="0"/>
              <w:rPr>
                <w:sz w:val="20"/>
                <w:szCs w:val="20"/>
                <w:color w:val="auto"/>
              </w:rPr>
            </w:pPr>
            <w:r>
              <w:rPr>
                <w:rFonts w:ascii="Arial" w:cs="Arial" w:eastAsia="Arial" w:hAnsi="Arial"/>
                <w:sz w:val="16"/>
                <w:szCs w:val="16"/>
                <w:color w:val="auto"/>
              </w:rPr>
              <w:t>1,247</w:t>
            </w:r>
          </w:p>
        </w:tc>
      </w:tr>
      <w:tr>
        <w:trPr>
          <w:trHeight w:val="33"/>
        </w:trPr>
        <w:tc>
          <w:tcPr>
            <w:tcW w:w="40" w:type="dxa"/>
            <w:vAlign w:val="bottom"/>
            <w:tcBorders>
              <w:bottom w:val="single" w:sz="8" w:color="CCFFCC"/>
            </w:tcBorders>
          </w:tcPr>
          <w:p>
            <w:pPr>
              <w:spacing w:after="0"/>
              <w:rPr>
                <w:sz w:val="2"/>
                <w:szCs w:val="2"/>
                <w:color w:val="auto"/>
              </w:rPr>
            </w:pPr>
          </w:p>
        </w:tc>
        <w:tc>
          <w:tcPr>
            <w:tcW w:w="3320" w:type="dxa"/>
            <w:vAlign w:val="bottom"/>
            <w:tcBorders>
              <w:bottom w:val="single" w:sz="8" w:color="CCFFCC"/>
            </w:tcBorders>
          </w:tcPr>
          <w:p>
            <w:pPr>
              <w:spacing w:after="0"/>
              <w:rPr>
                <w:sz w:val="2"/>
                <w:szCs w:val="2"/>
                <w:color w:val="auto"/>
              </w:rPr>
            </w:pPr>
          </w:p>
        </w:tc>
        <w:tc>
          <w:tcPr>
            <w:tcW w:w="63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40" w:type="dxa"/>
            <w:vAlign w:val="bottom"/>
            <w:tcBorders>
              <w:bottom w:val="single" w:sz="8" w:color="CCFFCC"/>
            </w:tcBorders>
            <w:shd w:val="clear" w:color="auto" w:fill="CCFFCC"/>
          </w:tcPr>
          <w:p>
            <w:pPr>
              <w:spacing w:after="0"/>
              <w:rPr>
                <w:sz w:val="21"/>
                <w:szCs w:val="21"/>
                <w:color w:val="auto"/>
              </w:rPr>
            </w:pPr>
          </w:p>
        </w:tc>
        <w:tc>
          <w:tcPr>
            <w:tcW w:w="96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6"/>
                <w:szCs w:val="16"/>
                <w:color w:val="auto"/>
              </w:rPr>
              <w:t>Balance at end of period</w:t>
            </w:r>
          </w:p>
        </w:tc>
        <w:tc>
          <w:tcPr>
            <w:tcW w:w="2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FFCC"/>
          </w:tcPr>
          <w:p>
            <w:pPr>
              <w:jc w:val="right"/>
              <w:ind w:right="24"/>
              <w:spacing w:after="0"/>
              <w:rPr>
                <w:sz w:val="20"/>
                <w:szCs w:val="20"/>
                <w:color w:val="auto"/>
              </w:rPr>
            </w:pPr>
            <w:r>
              <w:rPr>
                <w:rFonts w:ascii="Arial" w:cs="Arial" w:eastAsia="Arial" w:hAnsi="Arial"/>
                <w:sz w:val="16"/>
                <w:szCs w:val="16"/>
                <w:color w:val="auto"/>
              </w:rPr>
              <w:t>3,588</w:t>
            </w:r>
          </w:p>
        </w:tc>
      </w:tr>
      <w:tr>
        <w:trPr>
          <w:trHeight w:val="20"/>
        </w:trPr>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calculates earnings per share (“EPS”) in accordance with the provisions of ASC 260-10. Under the guidance,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Diluted net loss per common share for the three months ended March 31, 2020 does not include the effect of 9,128,000 outstanding common stock awards, as the effect of their inclusion is anti-dilutive. Diluted net loss per common share for the three months ended March 31, 2019 does not include the effect of 8,330,741 outstanding common stock awards, as the effect of their inclusion is anti-dilutive.</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net loss per share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440" w:type="dxa"/>
            <w:vAlign w:val="bottom"/>
            <w:gridSpan w:val="3"/>
          </w:tcPr>
          <w:p>
            <w:pPr>
              <w:jc w:val="center"/>
              <w:ind w:left="964"/>
              <w:spacing w:after="0"/>
              <w:rPr>
                <w:sz w:val="20"/>
                <w:szCs w:val="20"/>
                <w:color w:val="auto"/>
              </w:rPr>
            </w:pPr>
            <w:r>
              <w:rPr>
                <w:rFonts w:ascii="Arial" w:cs="Arial" w:eastAsia="Arial" w:hAnsi="Arial"/>
                <w:sz w:val="14"/>
                <w:szCs w:val="14"/>
                <w:b w:val="1"/>
                <w:bCs w:val="1"/>
                <w:color w:val="auto"/>
                <w:w w:val="95"/>
              </w:rPr>
              <w:t>Three Months Ended</w:t>
            </w:r>
          </w:p>
        </w:tc>
        <w:tc>
          <w:tcPr>
            <w:tcW w:w="1020" w:type="dxa"/>
            <w:vAlign w:val="bottom"/>
          </w:tcPr>
          <w:p>
            <w:pPr>
              <w:spacing w:after="0"/>
              <w:rPr>
                <w:sz w:val="16"/>
                <w:szCs w:val="16"/>
                <w:color w:val="auto"/>
              </w:rPr>
            </w:pPr>
          </w:p>
        </w:tc>
      </w:tr>
      <w:tr>
        <w:trPr>
          <w:trHeight w:val="276"/>
        </w:trPr>
        <w:tc>
          <w:tcPr>
            <w:tcW w:w="7780" w:type="dxa"/>
            <w:vAlign w:val="bottom"/>
          </w:tcPr>
          <w:p>
            <w:pPr>
              <w:spacing w:after="0"/>
              <w:rPr>
                <w:sz w:val="24"/>
                <w:szCs w:val="24"/>
                <w:color w:val="auto"/>
              </w:rPr>
            </w:pPr>
          </w:p>
        </w:tc>
        <w:tc>
          <w:tcPr>
            <w:tcW w:w="2440" w:type="dxa"/>
            <w:vAlign w:val="bottom"/>
            <w:tcBorders>
              <w:bottom w:val="single" w:sz="8" w:color="auto"/>
            </w:tcBorders>
            <w:gridSpan w:val="3"/>
          </w:tcPr>
          <w:p>
            <w:pPr>
              <w:jc w:val="center"/>
              <w:ind w:left="964"/>
              <w:spacing w:after="0"/>
              <w:rPr>
                <w:sz w:val="20"/>
                <w:szCs w:val="20"/>
                <w:color w:val="auto"/>
              </w:rPr>
            </w:pPr>
            <w:r>
              <w:rPr>
                <w:rFonts w:ascii="Arial" w:cs="Arial" w:eastAsia="Arial" w:hAnsi="Arial"/>
                <w:sz w:val="14"/>
                <w:szCs w:val="14"/>
                <w:b w:val="1"/>
                <w:bCs w:val="1"/>
                <w:color w:val="auto"/>
                <w:w w:val="99"/>
              </w:rPr>
              <w:t>March 31,</w:t>
            </w:r>
          </w:p>
        </w:tc>
        <w:tc>
          <w:tcPr>
            <w:tcW w:w="1020" w:type="dxa"/>
            <w:vAlign w:val="bottom"/>
            <w:tcBorders>
              <w:bottom w:val="single" w:sz="8" w:color="auto"/>
            </w:tcBorders>
          </w:tcPr>
          <w:p>
            <w:pPr>
              <w:spacing w:after="0"/>
              <w:rPr>
                <w:sz w:val="24"/>
                <w:szCs w:val="24"/>
                <w:color w:val="auto"/>
              </w:rPr>
            </w:pPr>
          </w:p>
        </w:tc>
      </w:tr>
      <w:tr>
        <w:trPr>
          <w:trHeight w:val="263"/>
        </w:trPr>
        <w:tc>
          <w:tcPr>
            <w:tcW w:w="7780" w:type="dxa"/>
            <w:vAlign w:val="bottom"/>
            <w:tcBorders>
              <w:bottom w:val="single" w:sz="8" w:color="CCFFCC"/>
            </w:tcBorders>
          </w:tcPr>
          <w:p>
            <w:pPr>
              <w:spacing w:after="0"/>
              <w:rPr>
                <w:sz w:val="22"/>
                <w:szCs w:val="22"/>
                <w:color w:val="auto"/>
              </w:rPr>
            </w:pPr>
          </w:p>
        </w:tc>
        <w:tc>
          <w:tcPr>
            <w:tcW w:w="168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FFCC"/>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w w:val="96"/>
              </w:rPr>
              <w:t>2019</w:t>
            </w:r>
          </w:p>
        </w:tc>
      </w:tr>
      <w:tr>
        <w:trPr>
          <w:trHeight w:val="236"/>
        </w:trPr>
        <w:tc>
          <w:tcPr>
            <w:tcW w:w="7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Basic</w:t>
            </w:r>
          </w:p>
        </w:tc>
        <w:tc>
          <w:tcPr>
            <w:tcW w:w="168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6"/>
                <w:szCs w:val="16"/>
                <w:color w:val="auto"/>
              </w:rPr>
              <w:t>64,388,850</w:t>
            </w:r>
          </w:p>
        </w:tc>
        <w:tc>
          <w:tcPr>
            <w:tcW w:w="10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61,422,227</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Effect of assumed exercised options</w:t>
            </w:r>
          </w:p>
        </w:tc>
        <w:tc>
          <w:tcPr>
            <w:tcW w:w="2440" w:type="dxa"/>
            <w:vAlign w:val="bottom"/>
            <w:gridSpan w:val="3"/>
          </w:tcPr>
          <w:p>
            <w:pPr>
              <w:jc w:val="right"/>
              <w:ind w:right="8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FFCC"/>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Diluted</w:t>
            </w:r>
          </w:p>
        </w:tc>
        <w:tc>
          <w:tcPr>
            <w:tcW w:w="1680" w:type="dxa"/>
            <w:vAlign w:val="bottom"/>
            <w:tcBorders>
              <w:bottom w:val="single" w:sz="8" w:color="auto"/>
            </w:tcBorders>
            <w:shd w:val="clear" w:color="auto" w:fill="CCFFCC"/>
          </w:tcPr>
          <w:p>
            <w:pPr>
              <w:jc w:val="right"/>
              <w:ind w:right="24"/>
              <w:spacing w:after="0"/>
              <w:rPr>
                <w:sz w:val="20"/>
                <w:szCs w:val="20"/>
                <w:color w:val="auto"/>
              </w:rPr>
            </w:pPr>
            <w:r>
              <w:rPr>
                <w:rFonts w:ascii="Arial" w:cs="Arial" w:eastAsia="Arial" w:hAnsi="Arial"/>
                <w:sz w:val="16"/>
                <w:szCs w:val="16"/>
                <w:color w:val="auto"/>
              </w:rPr>
              <w:t>64,388,850</w:t>
            </w:r>
          </w:p>
        </w:tc>
        <w:tc>
          <w:tcPr>
            <w:tcW w:w="10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61,422,227</w:t>
            </w:r>
          </w:p>
        </w:tc>
      </w:tr>
      <w:tr>
        <w:trPr>
          <w:trHeight w:val="20"/>
        </w:trPr>
        <w:tc>
          <w:tcPr>
            <w:tcW w:w="77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expects to settle the principal amount of its outstanding Notes (as defined below) in cash and any excess in shares of the Company’s common stock. The Company uses the treasury stock method for calculating any potential dilutive effect of the conversion spread on diluted net income per share, if applicable. The conversion spread will have a dilutive impact on diluted net income per share of common stock when the average market price of the Company’s common stock for a given period exceeds the initial conversion price of $38.58 per share for the Notes. See Note 8 of the Notes to condensed consolidated financial statements for a full description of the Notes.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7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March 31, 2020, based on the Company’s internal financial reporting system utilized by the Company’s chief operating decision maker, follows (amounts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6"/>
                <w:szCs w:val="16"/>
                <w:color w:val="auto"/>
              </w:rPr>
            </w:pPr>
          </w:p>
        </w:tc>
        <w:tc>
          <w:tcPr>
            <w:tcW w:w="980" w:type="dxa"/>
            <w:vAlign w:val="bottom"/>
          </w:tcPr>
          <w:p>
            <w:pPr>
              <w:jc w:val="right"/>
              <w:ind w:right="80"/>
              <w:spacing w:after="0"/>
              <w:rPr>
                <w:sz w:val="20"/>
                <w:szCs w:val="20"/>
                <w:color w:val="auto"/>
              </w:rPr>
            </w:pPr>
            <w:r>
              <w:rPr>
                <w:rFonts w:ascii="Arial" w:cs="Arial" w:eastAsia="Arial" w:hAnsi="Arial"/>
                <w:sz w:val="14"/>
                <w:szCs w:val="14"/>
                <w:b w:val="1"/>
                <w:bCs w:val="1"/>
                <w:color w:val="auto"/>
                <w:w w:val="90"/>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9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61,051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61,051</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6,240</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6,240</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10,797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10,797</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71,848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6,240</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78,088</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21,345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22,820</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37,469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5,211</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42,680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405</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45,375</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45,375</w:t>
            </w:r>
          </w:p>
        </w:tc>
      </w:tr>
      <w:tr>
        <w:trPr>
          <w:trHeight w:val="243"/>
        </w:trPr>
        <w:tc>
          <w:tcPr>
            <w:tcW w:w="606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12,629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(45,375)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(33,192)</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March 31, 2019, based on the Company’s internal financial reporting system utilized by the Company’s chief operating decision maker, follows (amounts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60" w:type="dxa"/>
            <w:vAlign w:val="bottom"/>
          </w:tcPr>
          <w:p>
            <w:pPr>
              <w:jc w:val="right"/>
              <w:ind w:right="140"/>
              <w:spacing w:after="0"/>
              <w:rPr>
                <w:sz w:val="20"/>
                <w:szCs w:val="20"/>
                <w:color w:val="auto"/>
              </w:rPr>
            </w:pPr>
            <w:r>
              <w:rPr>
                <w:rFonts w:ascii="Arial" w:cs="Arial" w:eastAsia="Arial" w:hAnsi="Arial"/>
                <w:sz w:val="14"/>
                <w:szCs w:val="14"/>
                <w:b w:val="1"/>
                <w:bCs w:val="1"/>
                <w:color w:val="auto"/>
                <w:w w:val="92"/>
              </w:rPr>
              <w:t>Consolidated</w:t>
            </w:r>
          </w:p>
        </w:tc>
      </w:tr>
      <w:tr>
        <w:trPr>
          <w:trHeight w:val="250"/>
        </w:trPr>
        <w:tc>
          <w:tcPr>
            <w:tcW w:w="59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0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594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51,537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51,537</w:t>
            </w:r>
          </w:p>
        </w:tc>
      </w:tr>
      <w:tr>
        <w:trPr>
          <w:trHeight w:val="33"/>
        </w:trPr>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5,407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5,407</w:t>
            </w:r>
          </w:p>
        </w:tc>
      </w:tr>
      <w:tr>
        <w:trPr>
          <w:trHeight w:val="237"/>
        </w:trPr>
        <w:tc>
          <w:tcPr>
            <w:tcW w:w="594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9,458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9,458</w:t>
            </w:r>
          </w:p>
        </w:tc>
      </w:tr>
      <w:tr>
        <w:trPr>
          <w:trHeight w:val="33"/>
        </w:trPr>
        <w:tc>
          <w:tcPr>
            <w:tcW w:w="594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9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60,995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5,407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66,402</w:t>
            </w:r>
          </w:p>
        </w:tc>
      </w:tr>
      <w:tr>
        <w:trPr>
          <w:trHeight w:val="217"/>
        </w:trPr>
        <w:tc>
          <w:tcPr>
            <w:tcW w:w="594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17,662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987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18,649</w:t>
            </w:r>
          </w:p>
        </w:tc>
      </w:tr>
      <w:tr>
        <w:trPr>
          <w:trHeight w:val="33"/>
        </w:trPr>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30,092</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2,944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33,036</w:t>
            </w: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461</w:t>
            </w:r>
          </w:p>
        </w:tc>
      </w:tr>
      <w:tr>
        <w:trPr>
          <w:trHeight w:val="33"/>
        </w:trPr>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32,619</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32,619</w:t>
            </w:r>
          </w:p>
        </w:tc>
      </w:tr>
      <w:tr>
        <w:trPr>
          <w:trHeight w:val="244"/>
        </w:trPr>
        <w:tc>
          <w:tcPr>
            <w:tcW w:w="594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12,780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1,476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(32,619)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(18,363)</w:t>
            </w: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7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domiciled in the United States and has international operations in Israel, the United Kingdom, Asia-Pacific and Australia, Latin America and Western Europe, particularly France, Germany and the Netherlands. The following table presents the Company’s long-lived assets by geographic region as of the dates presented (amounts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180" w:type="dxa"/>
            <w:vAlign w:val="bottom"/>
            <w:tcBorders>
              <w:bottom w:val="single" w:sz="8" w:color="CCFFC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36"/>
        </w:trPr>
        <w:tc>
          <w:tcPr>
            <w:tcW w:w="8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2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183,931</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177,776</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Israel</w:t>
            </w:r>
          </w:p>
        </w:tc>
        <w:tc>
          <w:tcPr>
            <w:tcW w:w="2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17,175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16,680</w:t>
            </w:r>
          </w:p>
        </w:tc>
      </w:tr>
      <w:tr>
        <w:trPr>
          <w:trHeight w:val="3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Australia</w:t>
            </w:r>
          </w:p>
        </w:tc>
        <w:tc>
          <w:tcPr>
            <w:tcW w:w="2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13,217</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13,765</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Netherlands</w:t>
            </w:r>
          </w:p>
        </w:tc>
        <w:tc>
          <w:tcPr>
            <w:tcW w:w="2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7,854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7,705</w:t>
            </w:r>
          </w:p>
        </w:tc>
      </w:tr>
      <w:tr>
        <w:trPr>
          <w:trHeight w:val="3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8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FFCC"/>
          </w:tcPr>
          <w:p>
            <w:pPr>
              <w:spacing w:after="0"/>
              <w:rPr>
                <w:sz w:val="23"/>
                <w:szCs w:val="23"/>
                <w:color w:val="auto"/>
              </w:rPr>
            </w:pPr>
          </w:p>
        </w:tc>
        <w:tc>
          <w:tcPr>
            <w:tcW w:w="120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18,998</w:t>
            </w:r>
          </w:p>
        </w:tc>
        <w:tc>
          <w:tcPr>
            <w:tcW w:w="100" w:type="dxa"/>
            <w:vAlign w:val="bottom"/>
            <w:shd w:val="clear" w:color="auto" w:fill="CCFFCC"/>
          </w:tcPr>
          <w:p>
            <w:pPr>
              <w:spacing w:after="0"/>
              <w:rPr>
                <w:sz w:val="23"/>
                <w:szCs w:val="23"/>
                <w:color w:val="auto"/>
              </w:rPr>
            </w:pPr>
          </w:p>
        </w:tc>
        <w:tc>
          <w:tcPr>
            <w:tcW w:w="220" w:type="dxa"/>
            <w:vAlign w:val="bottom"/>
            <w:tcBorders>
              <w:bottom w:val="single" w:sz="8" w:color="auto"/>
            </w:tcBorders>
            <w:shd w:val="clear" w:color="auto" w:fill="CCFFCC"/>
          </w:tcPr>
          <w:p>
            <w:pPr>
              <w:spacing w:after="0"/>
              <w:rPr>
                <w:sz w:val="23"/>
                <w:szCs w:val="23"/>
                <w:color w:val="auto"/>
              </w:rPr>
            </w:pPr>
          </w:p>
        </w:tc>
        <w:tc>
          <w:tcPr>
            <w:tcW w:w="124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18,677</w:t>
            </w:r>
          </w:p>
        </w:tc>
      </w:tr>
      <w:tr>
        <w:trPr>
          <w:trHeight w:val="243"/>
        </w:trPr>
        <w:tc>
          <w:tcPr>
            <w:tcW w:w="8180" w:type="dxa"/>
            <w:vAlign w:val="bottom"/>
          </w:tcPr>
          <w:p>
            <w:pPr>
              <w:ind w:left="280"/>
              <w:spacing w:after="0"/>
              <w:rPr>
                <w:sz w:val="20"/>
                <w:szCs w:val="20"/>
                <w:color w:val="auto"/>
              </w:rPr>
            </w:pPr>
            <w:r>
              <w:rPr>
                <w:rFonts w:ascii="Arial" w:cs="Arial" w:eastAsia="Arial" w:hAnsi="Arial"/>
                <w:sz w:val="16"/>
                <w:szCs w:val="16"/>
                <w:color w:val="auto"/>
              </w:rPr>
              <w:t>Total long-lived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241,175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234,603</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United Kingdom, Germany, Japan, France and Italy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three months ended March 31, 2020 are as follows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2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Consolidated</w:t>
            </w:r>
          </w:p>
        </w:tc>
      </w:tr>
      <w:tr>
        <w:trPr>
          <w:trHeight w:val="236"/>
        </w:trPr>
        <w:tc>
          <w:tcPr>
            <w:tcW w:w="662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as of December 31, 2019</w:t>
            </w:r>
          </w:p>
        </w:tc>
        <w:tc>
          <w:tcPr>
            <w:tcW w:w="300" w:type="dxa"/>
            <w:vAlign w:val="bottom"/>
            <w:tcBorders>
              <w:top w:val="single" w:sz="8" w:color="auto"/>
              <w:bottom w:val="single" w:sz="8" w:color="CCFFCC"/>
            </w:tcBorders>
            <w:shd w:val="clear" w:color="auto" w:fill="CCFFCC"/>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86,963</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60" w:type="dxa"/>
            <w:vAlign w:val="bottom"/>
            <w:tcBorders>
              <w:top w:val="single" w:sz="8" w:color="auto"/>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94,987</w:t>
            </w:r>
          </w:p>
        </w:tc>
      </w:tr>
      <w:tr>
        <w:trPr>
          <w:trHeight w:val="237"/>
        </w:trPr>
        <w:tc>
          <w:tcPr>
            <w:tcW w:w="6620" w:type="dxa"/>
            <w:vAlign w:val="bottom"/>
          </w:tcPr>
          <w:p>
            <w:pPr>
              <w:ind w:left="180"/>
              <w:spacing w:after="0"/>
              <w:rPr>
                <w:sz w:val="20"/>
                <w:szCs w:val="20"/>
                <w:color w:val="auto"/>
              </w:rPr>
            </w:pPr>
            <w:r>
              <w:rPr>
                <w:rFonts w:ascii="Arial" w:cs="Arial" w:eastAsia="Arial" w:hAnsi="Arial"/>
                <w:sz w:val="16"/>
                <w:szCs w:val="16"/>
                <w:color w:val="auto"/>
              </w:rPr>
              <w:t>Adjustments to goodwill:</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6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exchange adjustment</w:t>
            </w:r>
          </w:p>
        </w:tc>
        <w:tc>
          <w:tcPr>
            <w:tcW w:w="3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28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(42)</w:t>
            </w:r>
          </w:p>
        </w:tc>
      </w:tr>
      <w:tr>
        <w:trPr>
          <w:trHeight w:val="243"/>
        </w:trPr>
        <w:tc>
          <w:tcPr>
            <w:tcW w:w="6620" w:type="dxa"/>
            <w:vAlign w:val="bottom"/>
          </w:tcPr>
          <w:p>
            <w:pPr>
              <w:ind w:left="40"/>
              <w:spacing w:after="0"/>
              <w:rPr>
                <w:sz w:val="20"/>
                <w:szCs w:val="20"/>
                <w:color w:val="auto"/>
              </w:rPr>
            </w:pPr>
            <w:r>
              <w:rPr>
                <w:rFonts w:ascii="Arial" w:cs="Arial" w:eastAsia="Arial" w:hAnsi="Arial"/>
                <w:sz w:val="16"/>
                <w:szCs w:val="16"/>
                <w:color w:val="auto"/>
              </w:rPr>
              <w:t>Balance as of March 31, 2020</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86,921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94,945</w:t>
            </w: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are summarized as follows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4"/>
                <w:szCs w:val="14"/>
                <w:b w:val="1"/>
                <w:bCs w:val="1"/>
                <w:color w:val="auto"/>
              </w:rPr>
              <w:t>As of March 31, 2020</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72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49"/>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7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30,394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(25,569)</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4,825</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 years</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16,961</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(13,207)</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3,754</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8.4 years</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3,490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2,733</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 years</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7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 years</w:t>
            </w:r>
          </w:p>
        </w:tc>
        <w:tc>
          <w:tcPr>
            <w:tcW w:w="0" w:type="dxa"/>
            <w:vAlign w:val="bottom"/>
          </w:tcPr>
          <w:p>
            <w:pPr>
              <w:spacing w:after="0"/>
              <w:rPr>
                <w:sz w:val="1"/>
                <w:szCs w:val="1"/>
                <w:color w:val="auto"/>
              </w:rPr>
            </w:pPr>
          </w:p>
        </w:tc>
      </w:tr>
      <w:tr>
        <w:trPr>
          <w:trHeight w:val="244"/>
        </w:trPr>
        <w:tc>
          <w:tcPr>
            <w:tcW w:w="674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51,107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(39,768)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11,339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7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rPr>
              <w:t>As of December 31, 2019</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72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50"/>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7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30,413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(25,187)</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5,226</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 years</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16,964</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(12,958)</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4,006</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8.4 years</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3,267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2,553</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 years</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7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 years</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50,906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(39,094)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11,812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Amortization expense is calculated over the estimated useful life of the asset. Aggregate amortization expense for intangible assets was $0.7 million for the three months ended March 31, 2020 and 2019, respectively. For the three months ended March 31, 2020 and 2019, respectively, a portion of this amortization is included in cost of revenue. Estimated amortization expense for the next five years is as follows (amounts in thousands):</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jc w:val="right"/>
              <w:ind w:right="181"/>
              <w:spacing w:after="0"/>
              <w:rPr>
                <w:sz w:val="20"/>
                <w:szCs w:val="20"/>
                <w:color w:val="auto"/>
              </w:rPr>
            </w:pPr>
            <w:r>
              <w:rPr>
                <w:rFonts w:ascii="Arial" w:cs="Arial" w:eastAsia="Arial" w:hAnsi="Arial"/>
                <w:sz w:val="14"/>
                <w:szCs w:val="14"/>
                <w:b w:val="1"/>
                <w:bCs w:val="1"/>
                <w:color w:val="auto"/>
                <w:w w:val="98"/>
              </w:rPr>
              <w:t>Estimated Amortization</w:t>
            </w:r>
          </w:p>
        </w:tc>
      </w:tr>
      <w:tr>
        <w:trPr>
          <w:trHeight w:val="192"/>
        </w:trPr>
        <w:tc>
          <w:tcPr>
            <w:tcW w:w="920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Expense</w:t>
            </w:r>
          </w:p>
        </w:tc>
      </w:tr>
      <w:tr>
        <w:trPr>
          <w:trHeight w:val="236"/>
        </w:trPr>
        <w:tc>
          <w:tcPr>
            <w:tcW w:w="9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Remaining 2020</w:t>
            </w:r>
          </w:p>
        </w:tc>
        <w:tc>
          <w:tcPr>
            <w:tcW w:w="180" w:type="dxa"/>
            <w:vAlign w:val="bottom"/>
            <w:tcBorders>
              <w:bottom w:val="single" w:sz="8" w:color="CCFFCC"/>
            </w:tcBorders>
            <w:shd w:val="clear" w:color="auto" w:fill="CCFFCC"/>
          </w:tcPr>
          <w:p>
            <w:pPr>
              <w:spacing w:after="0"/>
              <w:rPr>
                <w:sz w:val="20"/>
                <w:szCs w:val="20"/>
                <w:color w:val="auto"/>
              </w:rPr>
            </w:pPr>
          </w:p>
        </w:tc>
        <w:tc>
          <w:tcPr>
            <w:tcW w:w="18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2,049</w:t>
            </w:r>
          </w:p>
        </w:tc>
      </w:tr>
      <w:tr>
        <w:trPr>
          <w:trHeight w:val="223"/>
        </w:trPr>
        <w:tc>
          <w:tcPr>
            <w:tcW w:w="9200" w:type="dxa"/>
            <w:vAlign w:val="bottom"/>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9"/>
                <w:szCs w:val="19"/>
                <w:color w:val="auto"/>
              </w:rPr>
            </w:pPr>
          </w:p>
        </w:tc>
        <w:tc>
          <w:tcPr>
            <w:tcW w:w="1820" w:type="dxa"/>
            <w:vAlign w:val="bottom"/>
          </w:tcPr>
          <w:p>
            <w:pPr>
              <w:jc w:val="right"/>
              <w:ind w:right="21"/>
              <w:spacing w:after="0"/>
              <w:rPr>
                <w:sz w:val="20"/>
                <w:szCs w:val="20"/>
                <w:color w:val="auto"/>
              </w:rPr>
            </w:pPr>
            <w:r>
              <w:rPr>
                <w:rFonts w:ascii="Arial" w:cs="Arial" w:eastAsia="Arial" w:hAnsi="Arial"/>
                <w:sz w:val="16"/>
                <w:szCs w:val="16"/>
                <w:color w:val="auto"/>
              </w:rPr>
              <w:t>2,521</w:t>
            </w:r>
          </w:p>
        </w:tc>
      </w:tr>
      <w:tr>
        <w:trPr>
          <w:trHeight w:val="33"/>
        </w:trPr>
        <w:tc>
          <w:tcPr>
            <w:tcW w:w="9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9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CCFFCC"/>
            </w:tcBorders>
            <w:shd w:val="clear" w:color="auto" w:fill="CCFFCC"/>
          </w:tcPr>
          <w:p>
            <w:pPr>
              <w:spacing w:after="0"/>
              <w:rPr>
                <w:sz w:val="20"/>
                <w:szCs w:val="20"/>
                <w:color w:val="auto"/>
              </w:rPr>
            </w:pPr>
          </w:p>
        </w:tc>
        <w:tc>
          <w:tcPr>
            <w:tcW w:w="18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2,156</w:t>
            </w:r>
          </w:p>
        </w:tc>
      </w:tr>
      <w:tr>
        <w:trPr>
          <w:trHeight w:val="224"/>
        </w:trPr>
        <w:tc>
          <w:tcPr>
            <w:tcW w:w="920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9"/>
                <w:szCs w:val="19"/>
                <w:color w:val="auto"/>
              </w:rPr>
            </w:pPr>
          </w:p>
        </w:tc>
        <w:tc>
          <w:tcPr>
            <w:tcW w:w="1820" w:type="dxa"/>
            <w:vAlign w:val="bottom"/>
          </w:tcPr>
          <w:p>
            <w:pPr>
              <w:jc w:val="right"/>
              <w:ind w:right="21"/>
              <w:spacing w:after="0"/>
              <w:rPr>
                <w:sz w:val="20"/>
                <w:szCs w:val="20"/>
                <w:color w:val="auto"/>
              </w:rPr>
            </w:pPr>
            <w:r>
              <w:rPr>
                <w:rFonts w:ascii="Arial" w:cs="Arial" w:eastAsia="Arial" w:hAnsi="Arial"/>
                <w:sz w:val="16"/>
                <w:szCs w:val="16"/>
                <w:color w:val="auto"/>
              </w:rPr>
              <w:t>905</w:t>
            </w:r>
          </w:p>
        </w:tc>
      </w:tr>
      <w:tr>
        <w:trPr>
          <w:trHeight w:val="33"/>
        </w:trPr>
        <w:tc>
          <w:tcPr>
            <w:tcW w:w="9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6"/>
        </w:trPr>
        <w:tc>
          <w:tcPr>
            <w:tcW w:w="9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Borders>
              <w:bottom w:val="single" w:sz="8" w:color="CCFFCC"/>
            </w:tcBorders>
            <w:shd w:val="clear" w:color="auto" w:fill="CCFFCC"/>
          </w:tcPr>
          <w:p>
            <w:pPr>
              <w:spacing w:after="0"/>
              <w:rPr>
                <w:sz w:val="20"/>
                <w:szCs w:val="20"/>
                <w:color w:val="auto"/>
              </w:rPr>
            </w:pPr>
          </w:p>
        </w:tc>
        <w:tc>
          <w:tcPr>
            <w:tcW w:w="18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707</w:t>
            </w:r>
          </w:p>
        </w:tc>
      </w:tr>
      <w:tr>
        <w:trPr>
          <w:trHeight w:val="224"/>
        </w:trPr>
        <w:tc>
          <w:tcPr>
            <w:tcW w:w="92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Pr>
          <w:p>
            <w:pPr>
              <w:spacing w:after="0"/>
              <w:rPr>
                <w:sz w:val="19"/>
                <w:szCs w:val="19"/>
                <w:color w:val="auto"/>
              </w:rPr>
            </w:pPr>
          </w:p>
        </w:tc>
        <w:tc>
          <w:tcPr>
            <w:tcW w:w="1820" w:type="dxa"/>
            <w:vAlign w:val="bottom"/>
          </w:tcPr>
          <w:p>
            <w:pPr>
              <w:jc w:val="right"/>
              <w:ind w:right="21"/>
              <w:spacing w:after="0"/>
              <w:rPr>
                <w:sz w:val="20"/>
                <w:szCs w:val="20"/>
                <w:color w:val="auto"/>
              </w:rPr>
            </w:pPr>
            <w:r>
              <w:rPr>
                <w:rFonts w:ascii="Arial" w:cs="Arial" w:eastAsia="Arial" w:hAnsi="Arial"/>
                <w:sz w:val="16"/>
                <w:szCs w:val="16"/>
                <w:color w:val="auto"/>
              </w:rPr>
              <w:t>3,001</w:t>
            </w:r>
          </w:p>
        </w:tc>
      </w:tr>
      <w:tr>
        <w:trPr>
          <w:trHeight w:val="33"/>
        </w:trPr>
        <w:tc>
          <w:tcPr>
            <w:tcW w:w="92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92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11,339</w:t>
            </w:r>
          </w:p>
        </w:tc>
      </w:tr>
      <w:tr>
        <w:trPr>
          <w:trHeight w:val="20"/>
        </w:trPr>
        <w:tc>
          <w:tcPr>
            <w:tcW w:w="9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4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80" w:type="dxa"/>
            <w:vAlign w:val="bottom"/>
            <w:tcBorders>
              <w:bottom w:val="single" w:sz="8" w:color="CCFFC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36"/>
        </w:trPr>
        <w:tc>
          <w:tcPr>
            <w:tcW w:w="8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Computer equipment and software</w:t>
            </w: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95,152</w:t>
            </w:r>
          </w:p>
        </w:tc>
        <w:tc>
          <w:tcPr>
            <w:tcW w:w="10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92,493</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Furniture, equipment and building improvements</w:t>
            </w:r>
          </w:p>
        </w:tc>
        <w:tc>
          <w:tcPr>
            <w:tcW w:w="26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16,522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16,487</w:t>
            </w:r>
          </w:p>
        </w:tc>
      </w:tr>
      <w:tr>
        <w:trPr>
          <w:trHeight w:val="33"/>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Internal-use software development costs</w:t>
            </w:r>
          </w:p>
        </w:tc>
        <w:tc>
          <w:tcPr>
            <w:tcW w:w="260" w:type="dxa"/>
            <w:vAlign w:val="bottom"/>
            <w:tcBorders>
              <w:bottom w:val="single" w:sz="8" w:color="CCFFCC"/>
            </w:tcBorders>
            <w:shd w:val="clear" w:color="auto" w:fill="CCFFCC"/>
          </w:tcPr>
          <w:p>
            <w:pPr>
              <w:spacing w:after="0"/>
              <w:rPr>
                <w:sz w:val="23"/>
                <w:szCs w:val="23"/>
                <w:color w:val="auto"/>
              </w:rPr>
            </w:pPr>
          </w:p>
        </w:tc>
        <w:tc>
          <w:tcPr>
            <w:tcW w:w="12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60,733</w:t>
            </w:r>
          </w:p>
        </w:tc>
        <w:tc>
          <w:tcPr>
            <w:tcW w:w="10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52,544</w:t>
            </w:r>
          </w:p>
        </w:tc>
      </w:tr>
      <w:tr>
        <w:trPr>
          <w:trHeight w:val="217"/>
        </w:trPr>
        <w:tc>
          <w:tcPr>
            <w:tcW w:w="8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172,407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161,524</w:t>
            </w:r>
          </w:p>
        </w:tc>
      </w:tr>
      <w:tr>
        <w:trPr>
          <w:trHeight w:val="33"/>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CCFFCC"/>
            </w:tcBorders>
            <w:shd w:val="clear" w:color="auto" w:fill="CCFFCC"/>
          </w:tcPr>
          <w:p>
            <w:pPr>
              <w:spacing w:after="0"/>
              <w:rPr>
                <w:sz w:val="23"/>
                <w:szCs w:val="23"/>
                <w:color w:val="auto"/>
              </w:rPr>
            </w:pPr>
          </w:p>
        </w:tc>
        <w:tc>
          <w:tcPr>
            <w:tcW w:w="12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(89,591)</w:t>
            </w:r>
          </w:p>
        </w:tc>
        <w:tc>
          <w:tcPr>
            <w:tcW w:w="10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(85,288)</w:t>
            </w:r>
          </w:p>
        </w:tc>
      </w:tr>
      <w:tr>
        <w:trPr>
          <w:trHeight w:val="243"/>
        </w:trPr>
        <w:tc>
          <w:tcPr>
            <w:tcW w:w="8180" w:type="dxa"/>
            <w:vAlign w:val="bottom"/>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82,816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76,236</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7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accrued expenses and other current liabilities for the periods presented (amounts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4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80" w:type="dxa"/>
            <w:vAlign w:val="bottom"/>
            <w:tcBorders>
              <w:bottom w:val="single" w:sz="8" w:color="CCFFC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36"/>
        </w:trPr>
        <w:tc>
          <w:tcPr>
            <w:tcW w:w="8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Payroll and other employee related costs</w:t>
            </w: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12,560</w:t>
            </w:r>
          </w:p>
        </w:tc>
        <w:tc>
          <w:tcPr>
            <w:tcW w:w="10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27,920</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Professional services and consulting and other vendor fees</w:t>
            </w:r>
          </w:p>
        </w:tc>
        <w:tc>
          <w:tcPr>
            <w:tcW w:w="26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22,788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20,382</w:t>
            </w:r>
          </w:p>
        </w:tc>
      </w:tr>
      <w:tr>
        <w:trPr>
          <w:trHeight w:val="33"/>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Unrecognized tax benefits</w:t>
            </w:r>
          </w:p>
        </w:tc>
        <w:tc>
          <w:tcPr>
            <w:tcW w:w="26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2,052</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2,053</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Sales commissions</w:t>
            </w:r>
          </w:p>
        </w:tc>
        <w:tc>
          <w:tcPr>
            <w:tcW w:w="26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3,787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9,654</w:t>
            </w:r>
          </w:p>
        </w:tc>
      </w:tr>
      <w:tr>
        <w:trPr>
          <w:trHeight w:val="33"/>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Contingent earn-out (see Notes 9 and 10)</w:t>
            </w:r>
          </w:p>
        </w:tc>
        <w:tc>
          <w:tcPr>
            <w:tcW w:w="26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557</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Restructuring (see Note 13)</w:t>
            </w:r>
          </w:p>
        </w:tc>
        <w:tc>
          <w:tcPr>
            <w:tcW w:w="26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314</w:t>
            </w:r>
          </w:p>
        </w:tc>
      </w:tr>
      <w:tr>
        <w:trPr>
          <w:trHeight w:val="33"/>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tax liabilities</w:t>
            </w:r>
          </w:p>
        </w:tc>
        <w:tc>
          <w:tcPr>
            <w:tcW w:w="26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1,898</w:t>
            </w:r>
          </w:p>
        </w:tc>
      </w:tr>
      <w:tr>
        <w:trPr>
          <w:trHeight w:val="33"/>
        </w:trPr>
        <w:tc>
          <w:tcPr>
            <w:tcW w:w="818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44,629</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62,778</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Senior Notes and Capped Call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2019, the Company issued $230.0 million aggregate principal amount of 0.750% Convertible Senior Notes due 2024 in a private placement, which amount includes $30.0 million aggregate principal amount of such Notes pursuant to the exercise in full of the over-allotment options of the initial purchasers (collectively, the “Notes”). The interest on the Notes is payable semi-annually in arrears on March 1 and September 1 of each year, beginning on September 1, 2019.</w:t>
      </w:r>
    </w:p>
    <w:p>
      <w:pPr>
        <w:spacing w:after="0" w:line="79" w:lineRule="exact"/>
        <w:rPr>
          <w:sz w:val="20"/>
          <w:szCs w:val="20"/>
          <w:color w:val="auto"/>
        </w:rPr>
      </w:pPr>
    </w:p>
    <w:p>
      <w:pPr>
        <w:jc w:val="both"/>
        <w:ind w:right="20" w:firstLine="694"/>
        <w:spacing w:after="0" w:line="308" w:lineRule="auto"/>
        <w:rPr>
          <w:sz w:val="20"/>
          <w:szCs w:val="20"/>
          <w:color w:val="auto"/>
        </w:rPr>
      </w:pPr>
      <w:r>
        <w:rPr>
          <w:rFonts w:ascii="Arial" w:cs="Arial" w:eastAsia="Arial" w:hAnsi="Arial"/>
          <w:sz w:val="17"/>
          <w:szCs w:val="17"/>
          <w:color w:val="auto"/>
        </w:rPr>
        <w:t>The Notes will mature on March 1, 2024, unless earlier repurchased or redeemed by the Company or converted pursuant to their terms. The total net proceeds from the debt offering, after deducting debt issuance costs, paid or payable by us, was approximately $221.0 million.</w:t>
      </w:r>
    </w:p>
    <w:p>
      <w:pPr>
        <w:spacing w:after="0" w:line="38" w:lineRule="exact"/>
        <w:rPr>
          <w:sz w:val="20"/>
          <w:szCs w:val="20"/>
          <w:color w:val="auto"/>
        </w:rPr>
      </w:pPr>
    </w:p>
    <w:p>
      <w:pPr>
        <w:jc w:val="both"/>
        <w:ind w:firstLine="693"/>
        <w:spacing w:after="0" w:line="267" w:lineRule="auto"/>
        <w:rPr>
          <w:sz w:val="20"/>
          <w:szCs w:val="20"/>
          <w:color w:val="auto"/>
        </w:rPr>
      </w:pPr>
      <w:r>
        <w:rPr>
          <w:rFonts w:ascii="Arial" w:cs="Arial" w:eastAsia="Arial" w:hAnsi="Arial"/>
          <w:sz w:val="17"/>
          <w:szCs w:val="17"/>
          <w:color w:val="auto"/>
        </w:rPr>
        <w:t>Each $1,000 principal amount of the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Notes in connection with such a corporate event. The Notes are not redeemable prior to the maturity date of the Notes and no sinking fund is provided for the Notes. If we undergo a fundamental change (as defined in the indenture governing the Notes) prior to the maturity date, holders may require us to repurchase for cash all or any portion of their Notes in principal amounts of $1,000 or a multiple thereof at a fundamental change repurchase price equal to 100% of the principal amount of the Notes to be repurchased, plus accrued and unpaid interest to, but excluding, the fundamental change repurchase date.</w:t>
      </w:r>
    </w:p>
    <w:p>
      <w:pPr>
        <w:spacing w:after="0" w:line="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Holders of the Notes may convert their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Notes on each applicable trading day as determined by the Company; (2) during the five business day period after any five consecutive trading day period (the “measurement period”) in which the “trading price” (as defined in the indenture governing the Notes) per $1,000 principal amount of Notes for each trading day of the measurement period was less than 98% of the product of the last reported sale price of the Company’s common stock and the conversion rate for the Notes on each such trading day; or (3) upon the occurrence of specified corporate events. On or after November 1, 2023, holders may convert all or any portion of their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76" w:lineRule="exact"/>
        <w:rPr>
          <w:sz w:val="20"/>
          <w:szCs w:val="20"/>
          <w:color w:val="auto"/>
        </w:rPr>
      </w:pPr>
    </w:p>
    <w:p>
      <w:pPr>
        <w:jc w:val="both"/>
        <w:ind w:firstLine="832"/>
        <w:spacing w:after="0" w:line="277" w:lineRule="auto"/>
        <w:rPr>
          <w:sz w:val="20"/>
          <w:szCs w:val="20"/>
          <w:color w:val="auto"/>
        </w:rPr>
      </w:pPr>
      <w:r>
        <w:rPr>
          <w:rFonts w:ascii="Arial" w:cs="Arial" w:eastAsia="Arial" w:hAnsi="Arial"/>
          <w:sz w:val="18"/>
          <w:szCs w:val="18"/>
          <w:color w:val="auto"/>
        </w:rPr>
        <w:t>It is the Company’s current intent to settle the principal amount of its outstanding Notes in cash and any excess in shares of the Company’s common stock.</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7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March 31, 2020, the conditions allowing holders of the Notes to convert were not met.</w:t>
      </w:r>
    </w:p>
    <w:p>
      <w:pPr>
        <w:spacing w:after="0" w:line="117" w:lineRule="exact"/>
        <w:rPr>
          <w:sz w:val="20"/>
          <w:szCs w:val="20"/>
          <w:color w:val="auto"/>
        </w:rPr>
      </w:pPr>
    </w:p>
    <w:p>
      <w:pPr>
        <w:jc w:val="both"/>
        <w:ind w:firstLine="713"/>
        <w:spacing w:after="0" w:line="279" w:lineRule="auto"/>
        <w:rPr>
          <w:sz w:val="20"/>
          <w:szCs w:val="20"/>
          <w:color w:val="auto"/>
        </w:rPr>
      </w:pPr>
      <w:r>
        <w:rPr>
          <w:rFonts w:ascii="Arial" w:cs="Arial" w:eastAsia="Arial" w:hAnsi="Arial"/>
          <w:sz w:val="17"/>
          <w:szCs w:val="17"/>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63" w:lineRule="exact"/>
        <w:rPr>
          <w:sz w:val="20"/>
          <w:szCs w:val="20"/>
          <w:color w:val="auto"/>
        </w:rPr>
      </w:pPr>
    </w:p>
    <w:p>
      <w:pPr>
        <w:jc w:val="both"/>
        <w:ind w:firstLine="701"/>
        <w:spacing w:after="0" w:line="255" w:lineRule="auto"/>
        <w:rPr>
          <w:sz w:val="20"/>
          <w:szCs w:val="20"/>
          <w:color w:val="auto"/>
        </w:rPr>
      </w:pPr>
      <w:r>
        <w:rPr>
          <w:rFonts w:ascii="Arial" w:cs="Arial" w:eastAsia="Arial" w:hAnsi="Arial"/>
          <w:sz w:val="18"/>
          <w:szCs w:val="18"/>
          <w:color w:val="auto"/>
        </w:rPr>
        <w:t>In accounting for the issuance of the Notes, the Company separated the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$52.9 million and was determined by deducting the fair value of the liability component from the par value of the Notes. The equity component is not remeasured as long as it continues to meet the conditions for equity classification. The excess of the principal amount of the liability component over its carrying amount, or the debt discount, is amortized to interest expense at an effective interest rate over the contractual terms of the Notes.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accounting for the transaction costs related to the Notes, the Company allocated the total amount incurred of approximately $8.6 million to the liability and equity components of the Notes based on the proportion of the proceeds allocated to the debt and equity components. Issuance costs attributable to the liability component were approximately $6.6 million, were recorded as an additional debt discount and are amortized to interest expense using the effective interest method over the contractual terms of the Notes. Issuance costs attributable to the equity component were approximately $2.0 million and recorded as a reduction of additional paid in capital in stockholders’ equity.</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carrying amount of the liability component of the Notes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100330</wp:posOffset>
            </wp:positionV>
            <wp:extent cx="24942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Borders>
              <w:bottom w:val="single" w:sz="8" w:color="CCFFCC"/>
            </w:tcBorders>
          </w:tcPr>
          <w:p>
            <w:pPr>
              <w:spacing w:after="0"/>
              <w:rPr>
                <w:sz w:val="16"/>
                <w:szCs w:val="16"/>
                <w:color w:val="auto"/>
              </w:rPr>
            </w:pPr>
          </w:p>
        </w:tc>
        <w:tc>
          <w:tcPr>
            <w:tcW w:w="710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6"/>
              </w:rPr>
              <w:t>As of March 31, 2020</w:t>
            </w:r>
          </w:p>
        </w:tc>
        <w:tc>
          <w:tcPr>
            <w:tcW w:w="80" w:type="dxa"/>
            <w:vAlign w:val="bottom"/>
            <w:tcBorders>
              <w:bottom w:val="single" w:sz="8" w:color="CCFFCC"/>
            </w:tcBorders>
          </w:tcPr>
          <w:p>
            <w:pPr>
              <w:spacing w:after="0"/>
              <w:rPr>
                <w:sz w:val="16"/>
                <w:szCs w:val="16"/>
                <w:color w:val="auto"/>
              </w:rPr>
            </w:pPr>
          </w:p>
        </w:tc>
        <w:tc>
          <w:tcPr>
            <w:tcW w:w="2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5"/>
              </w:rPr>
              <w:t>As of December 31, 2019</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Principal</w:t>
            </w: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230,000</w:t>
            </w:r>
          </w:p>
        </w:tc>
        <w:tc>
          <w:tcPr>
            <w:tcW w:w="280" w:type="dxa"/>
            <w:vAlign w:val="bottom"/>
            <w:tcBorders>
              <w:bottom w:val="single" w:sz="8" w:color="CCFFCC"/>
            </w:tcBorders>
            <w:gridSpan w:val="3"/>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230,000</w:t>
            </w:r>
          </w:p>
        </w:tc>
        <w:tc>
          <w:tcPr>
            <w:tcW w:w="0" w:type="dxa"/>
            <w:vAlign w:val="bottom"/>
          </w:tcPr>
          <w:p>
            <w:pPr>
              <w:spacing w:after="0"/>
              <w:rPr>
                <w:sz w:val="1"/>
                <w:szCs w:val="1"/>
                <w:color w:val="auto"/>
              </w:rPr>
            </w:pPr>
          </w:p>
        </w:tc>
      </w:tr>
      <w:tr>
        <w:trPr>
          <w:trHeight w:val="237"/>
        </w:trPr>
        <w:tc>
          <w:tcPr>
            <w:tcW w:w="7320" w:type="dxa"/>
            <w:vAlign w:val="bottom"/>
            <w:gridSpan w:val="2"/>
          </w:tcPr>
          <w:p>
            <w:pPr>
              <w:ind w:left="40"/>
              <w:spacing w:after="0"/>
              <w:rPr>
                <w:sz w:val="20"/>
                <w:szCs w:val="20"/>
                <w:color w:val="auto"/>
              </w:rPr>
            </w:pPr>
            <w:r>
              <w:rPr>
                <w:rFonts w:ascii="Arial" w:cs="Arial" w:eastAsia="Arial" w:hAnsi="Arial"/>
                <w:sz w:val="16"/>
                <w:szCs w:val="16"/>
                <w:color w:val="auto"/>
              </w:rPr>
              <w:t>Unamortized discount</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(42,926)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6"/>
                <w:szCs w:val="16"/>
                <w:color w:val="auto"/>
              </w:rPr>
              <w:t>(45,295)</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Unamortized issuance costs</w:t>
            </w:r>
          </w:p>
        </w:tc>
        <w:tc>
          <w:tcPr>
            <w:tcW w:w="180" w:type="dxa"/>
            <w:vAlign w:val="bottom"/>
            <w:tcBorders>
              <w:bottom w:val="single" w:sz="8" w:color="CCFFCC"/>
            </w:tcBorders>
            <w:shd w:val="clear" w:color="auto" w:fill="CCFFCC"/>
          </w:tcPr>
          <w:p>
            <w:pPr>
              <w:spacing w:after="0"/>
              <w:rPr>
                <w:sz w:val="23"/>
                <w:szCs w:val="23"/>
                <w:color w:val="auto"/>
              </w:rPr>
            </w:pPr>
          </w:p>
        </w:tc>
        <w:tc>
          <w:tcPr>
            <w:tcW w:w="16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(5,396)</w:t>
            </w:r>
          </w:p>
        </w:tc>
        <w:tc>
          <w:tcPr>
            <w:tcW w:w="8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8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(5,693)</w:t>
            </w: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7100" w:type="dxa"/>
            <w:vAlign w:val="bottom"/>
          </w:tcPr>
          <w:p>
            <w:pPr>
              <w:ind w:left="60"/>
              <w:spacing w:after="0"/>
              <w:rPr>
                <w:sz w:val="20"/>
                <w:szCs w:val="20"/>
                <w:color w:val="auto"/>
              </w:rPr>
            </w:pPr>
            <w:r>
              <w:rPr>
                <w:rFonts w:ascii="Arial" w:cs="Arial" w:eastAsia="Arial" w:hAnsi="Arial"/>
                <w:sz w:val="16"/>
                <w:szCs w:val="16"/>
                <w:color w:val="auto"/>
              </w:rPr>
              <w:t>Net carrying amount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181,678</w:t>
            </w:r>
          </w:p>
        </w:tc>
        <w:tc>
          <w:tcPr>
            <w:tcW w:w="100" w:type="dxa"/>
            <w:vAlign w:val="bottom"/>
            <w:gridSpan w:val="2"/>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179,012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100" w:type="dxa"/>
            <w:vAlign w:val="bottom"/>
            <w:vMerge w:val="restart"/>
          </w:tcPr>
          <w:p>
            <w:pPr>
              <w:ind w:left="280"/>
              <w:spacing w:after="0"/>
              <w:rPr>
                <w:sz w:val="20"/>
                <w:szCs w:val="20"/>
                <w:color w:val="auto"/>
              </w:rPr>
            </w:pPr>
            <w:r>
              <w:rPr>
                <w:rFonts w:ascii="Arial" w:cs="Arial" w:eastAsia="Arial" w:hAnsi="Arial"/>
                <w:sz w:val="18"/>
                <w:szCs w:val="18"/>
                <w:color w:val="auto"/>
                <w:w w:val="91"/>
              </w:rPr>
              <w:t>The net carrying amount of the equity component of the Notes was as follows (in thousands):</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20" w:type="dxa"/>
            <w:vAlign w:val="bottom"/>
          </w:tcPr>
          <w:p>
            <w:pPr>
              <w:spacing w:after="0"/>
              <w:rPr>
                <w:sz w:val="24"/>
                <w:szCs w:val="24"/>
                <w:color w:val="auto"/>
              </w:rPr>
            </w:pPr>
          </w:p>
        </w:tc>
        <w:tc>
          <w:tcPr>
            <w:tcW w:w="7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7100" w:type="dxa"/>
            <w:vAlign w:val="bottom"/>
            <w:tcBorders>
              <w:bottom w:val="single" w:sz="8" w:color="CCFFCC"/>
            </w:tcBorders>
          </w:tcPr>
          <w:p>
            <w:pPr>
              <w:spacing w:after="0"/>
              <w:rPr>
                <w:sz w:val="21"/>
                <w:szCs w:val="21"/>
                <w:color w:val="auto"/>
              </w:rPr>
            </w:pPr>
          </w:p>
        </w:tc>
        <w:tc>
          <w:tcPr>
            <w:tcW w:w="180" w:type="dxa"/>
            <w:vAlign w:val="bottom"/>
            <w:tcBorders>
              <w:bottom w:val="single" w:sz="8" w:color="CCFFCC"/>
            </w:tcBorders>
          </w:tcPr>
          <w:p>
            <w:pPr>
              <w:spacing w:after="0"/>
              <w:rPr>
                <w:sz w:val="21"/>
                <w:szCs w:val="21"/>
                <w:color w:val="auto"/>
              </w:rPr>
            </w:pPr>
          </w:p>
        </w:tc>
        <w:tc>
          <w:tcPr>
            <w:tcW w:w="1620" w:type="dxa"/>
            <w:vAlign w:val="bottom"/>
            <w:tcBorders>
              <w:bottom w:val="single" w:sz="8" w:color="CCFFCC"/>
            </w:tcBorders>
          </w:tcPr>
          <w:p>
            <w:pPr>
              <w:spacing w:after="0"/>
              <w:rPr>
                <w:sz w:val="21"/>
                <w:szCs w:val="21"/>
                <w:color w:val="auto"/>
              </w:rPr>
            </w:pPr>
          </w:p>
        </w:tc>
        <w:tc>
          <w:tcPr>
            <w:tcW w:w="80" w:type="dxa"/>
            <w:vAlign w:val="bottom"/>
            <w:tcBorders>
              <w:bottom w:val="single" w:sz="8" w:color="CCFFCC"/>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8"/>
              </w:rPr>
              <w:t>As of March 31, 2020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71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Proceeds allocated to the conversion options (debt discount)</w:t>
            </w:r>
          </w:p>
        </w:tc>
        <w:tc>
          <w:tcPr>
            <w:tcW w:w="180" w:type="dxa"/>
            <w:vAlign w:val="bottom"/>
            <w:tcBorders>
              <w:bottom w:val="single" w:sz="8" w:color="CCFFCC"/>
            </w:tcBorders>
            <w:shd w:val="clear" w:color="auto" w:fill="CCFFCC"/>
          </w:tcPr>
          <w:p>
            <w:pPr>
              <w:spacing w:after="0"/>
              <w:rPr>
                <w:sz w:val="20"/>
                <w:szCs w:val="20"/>
                <w:color w:val="auto"/>
              </w:rPr>
            </w:pPr>
          </w:p>
        </w:tc>
        <w:tc>
          <w:tcPr>
            <w:tcW w:w="162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CCFFCC"/>
            </w:tcBorders>
            <w:gridSpan w:val="3"/>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52,900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6"/>
                <w:szCs w:val="16"/>
                <w:color w:val="auto"/>
              </w:rPr>
              <w:t>Issuance costs</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100" w:type="dxa"/>
            <w:vAlign w:val="bottom"/>
            <w:tcBorders>
              <w:bottom w:val="single" w:sz="8" w:color="CCFFCC"/>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620" w:type="dxa"/>
            <w:vAlign w:val="bottom"/>
            <w:tcBorders>
              <w:bottom w:val="single" w:sz="8" w:color="CCFFCC"/>
            </w:tcBorders>
          </w:tcPr>
          <w:p>
            <w:pPr>
              <w:spacing w:after="0"/>
              <w:rPr>
                <w:sz w:val="2"/>
                <w:szCs w:val="2"/>
                <w:color w:val="auto"/>
              </w:rPr>
            </w:pPr>
          </w:p>
        </w:tc>
        <w:tc>
          <w:tcPr>
            <w:tcW w:w="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7100" w:type="dxa"/>
            <w:vAlign w:val="bottom"/>
            <w:shd w:val="clear" w:color="auto" w:fill="CCFFCC"/>
          </w:tcPr>
          <w:p>
            <w:pPr>
              <w:ind w:left="260"/>
              <w:spacing w:after="0"/>
              <w:rPr>
                <w:sz w:val="20"/>
                <w:szCs w:val="20"/>
                <w:color w:val="auto"/>
              </w:rPr>
            </w:pPr>
            <w:r>
              <w:rPr>
                <w:rFonts w:ascii="Arial" w:cs="Arial" w:eastAsia="Arial" w:hAnsi="Arial"/>
                <w:sz w:val="16"/>
                <w:szCs w:val="16"/>
                <w:color w:val="auto"/>
              </w:rPr>
              <w:t>Net carrying amount</w:t>
            </w:r>
          </w:p>
        </w:tc>
        <w:tc>
          <w:tcPr>
            <w:tcW w:w="180" w:type="dxa"/>
            <w:vAlign w:val="bottom"/>
            <w:shd w:val="clear" w:color="auto" w:fill="CCFFCC"/>
          </w:tcPr>
          <w:p>
            <w:pPr>
              <w:spacing w:after="0"/>
              <w:rPr>
                <w:sz w:val="21"/>
                <w:szCs w:val="21"/>
                <w:color w:val="auto"/>
              </w:rPr>
            </w:pPr>
          </w:p>
        </w:tc>
        <w:tc>
          <w:tcPr>
            <w:tcW w:w="1620" w:type="dxa"/>
            <w:vAlign w:val="bottom"/>
            <w:shd w:val="clear" w:color="auto" w:fill="CCFFCC"/>
          </w:tcPr>
          <w:p>
            <w:pPr>
              <w:spacing w:after="0"/>
              <w:rPr>
                <w:sz w:val="21"/>
                <w:szCs w:val="21"/>
                <w:color w:val="auto"/>
              </w:rPr>
            </w:pPr>
          </w:p>
        </w:tc>
        <w:tc>
          <w:tcPr>
            <w:tcW w:w="280" w:type="dxa"/>
            <w:vAlign w:val="bottom"/>
            <w:gridSpan w:val="3"/>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FFCC"/>
          </w:tcPr>
          <w:p>
            <w:pPr>
              <w:jc w:val="right"/>
              <w:ind w:right="41"/>
              <w:spacing w:after="0"/>
              <w:rPr>
                <w:sz w:val="20"/>
                <w:szCs w:val="20"/>
                <w:color w:val="auto"/>
              </w:rPr>
            </w:pPr>
            <w:r>
              <w:rPr>
                <w:rFonts w:ascii="Arial" w:cs="Arial" w:eastAsia="Arial" w:hAnsi="Arial"/>
                <w:sz w:val="16"/>
                <w:szCs w:val="16"/>
                <w:color w:val="auto"/>
              </w:rPr>
              <w:t>50,914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6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interest expense recognized related to the Notes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100330</wp:posOffset>
            </wp:positionV>
            <wp:extent cx="22028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176" w:lineRule="exact"/>
        <w:rPr>
          <w:sz w:val="20"/>
          <w:szCs w:val="20"/>
          <w:color w:val="auto"/>
        </w:rPr>
      </w:pPr>
    </w:p>
    <w:p>
      <w:pPr>
        <w:jc w:val="center"/>
        <w:ind w:left="796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March 31, 2020</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March 31, 2019</w:t>
      </w:r>
    </w:p>
    <w:p>
      <w:pPr>
        <w:spacing w:after="0" w:line="9" w:lineRule="exact"/>
        <w:rPr>
          <w:sz w:val="20"/>
          <w:szCs w:val="20"/>
          <w:color w:val="auto"/>
        </w:rPr>
      </w:pPr>
    </w:p>
    <w:p>
      <w:pPr>
        <w:sectPr>
          <w:pgSz w:w="11900" w:h="16838" w:orient="portrait"/>
          <w:cols w:equalWidth="0" w:num="2">
            <w:col w:w="9260" w:space="480"/>
            <w:col w:w="150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778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Contractual interest expense</w:t>
            </w:r>
          </w:p>
        </w:tc>
        <w:tc>
          <w:tcPr>
            <w:tcW w:w="660" w:type="dxa"/>
            <w:vAlign w:val="bottom"/>
            <w:tcBorders>
              <w:top w:val="single" w:sz="8" w:color="auto"/>
              <w:bottom w:val="single" w:sz="8" w:color="CCFFCC"/>
            </w:tcBorders>
            <w:shd w:val="clear" w:color="auto" w:fill="CCFFCC"/>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417</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720" w:type="dxa"/>
            <w:vAlign w:val="bottom"/>
            <w:tcBorders>
              <w:top w:val="single" w:sz="8" w:color="auto"/>
              <w:bottom w:val="single" w:sz="8" w:color="CCFFCC"/>
            </w:tcBorders>
            <w:shd w:val="clear" w:color="auto" w:fill="CCFFCC"/>
          </w:tcPr>
          <w:p>
            <w:pPr>
              <w:jc w:val="right"/>
              <w:ind w:right="5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144</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Amortization of issuance costs</w:t>
            </w:r>
          </w:p>
        </w:tc>
        <w:tc>
          <w:tcPr>
            <w:tcW w:w="6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116</w:t>
            </w:r>
          </w:p>
        </w:tc>
      </w:tr>
      <w:tr>
        <w:trPr>
          <w:trHeight w:val="33"/>
        </w:trPr>
        <w:tc>
          <w:tcPr>
            <w:tcW w:w="7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Amortization of debt discount</w:t>
            </w:r>
          </w:p>
        </w:tc>
        <w:tc>
          <w:tcPr>
            <w:tcW w:w="66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2,368</w:t>
            </w:r>
          </w:p>
        </w:tc>
        <w:tc>
          <w:tcPr>
            <w:tcW w:w="100" w:type="dxa"/>
            <w:vAlign w:val="bottom"/>
            <w:tcBorders>
              <w:bottom w:val="single" w:sz="8" w:color="CCFFCC"/>
            </w:tcBorders>
            <w:shd w:val="clear" w:color="auto" w:fill="CCFFCC"/>
          </w:tcPr>
          <w:p>
            <w:pPr>
              <w:spacing w:after="0"/>
              <w:rPr>
                <w:sz w:val="23"/>
                <w:szCs w:val="23"/>
                <w:color w:val="auto"/>
              </w:rPr>
            </w:pPr>
          </w:p>
        </w:tc>
        <w:tc>
          <w:tcPr>
            <w:tcW w:w="72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727</w:t>
            </w:r>
          </w:p>
        </w:tc>
      </w:tr>
      <w:tr>
        <w:trPr>
          <w:trHeight w:val="243"/>
        </w:trPr>
        <w:tc>
          <w:tcPr>
            <w:tcW w:w="778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3,083</w:t>
            </w:r>
          </w:p>
        </w:tc>
        <w:tc>
          <w:tcPr>
            <w:tcW w:w="10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987</w:t>
            </w:r>
          </w:p>
        </w:tc>
      </w:tr>
      <w:tr>
        <w:trPr>
          <w:trHeight w:val="20"/>
        </w:trPr>
        <w:tc>
          <w:tcPr>
            <w:tcW w:w="7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remaining term over which the debt discount and debt issuance costs will be amortized is 3.9 years and 4.9 years as of March 31, 2020 and 2019, respectively. The effective interest rate on the debt was 5.57% and 6.97% for the period ended March 31, 2020 and 2019, respectively. Interest expense of $3.1 million and $0.1 million is reflected as a component of interest (expense) income, net in the accompanying condensed consolidated statements of operations for the three months ended March 31, 2020 and 2019, respectively.</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offering of the Notes, the Company entered into privately-negotiated capped call option transactions with certain counterparties (the “capped calls”). The capped calls each have an initial strike price of approximately $38.58 per share, subject to certain adjustments, which corresponds to the initial conversion price of the Notes. The capped calls have initial cap prices of $57.16 per share, subject to certain adjustment events. The capped calls cover, subject to anti-dilution adjustments,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75"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approximately 5.96 million shares of common stock. The capped calls are generally intended to reduce or offset the potential dilution to the common stock upon any conversion of the Notes with such reduction or offset, as the case may be, subject to a cap based on the cap price. The capped calls expire on March 1, 2024, subject to earlier exercise.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a termination of the capped calls, including changes in law, failure to deliver, and hedging disruptions. The capped calls are recorded in stockholders’ equity and are not accounted for as derivatives. The net cost of $23.2 million incurred to purchase the capped calls was recorded as a reduction to additional paid-in capital in the accompanying condensed consolidated balance sheet.</w:t>
      </w:r>
    </w:p>
    <w:p>
      <w:pPr>
        <w:spacing w:after="0" w:line="29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AdvantageTec Inc.</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October 2018, the Company entered into a stock purchase agreement to acquire the outstanding equity interest of AdvantageTec Inc. (“AdvantageTec”), a leading provider of texting solutions for service departments of automotive dealerships that helps enable Conversational Commerce across the entire dealership, including both front end/variable operations (new and used vehicle sales) and back end/fixed operations (parts and services). The purchase agreement was for total consideration of approximately $11.2 million, which includes approximately $6.0 million in cash, approximately $4.3 million in shares of common stock, and approximately $0.9 million of potential earn-out consideration in cash and shares of common stock. The earn-out is contingent upon achieving certain targeted financial, strategic and integration objectives and milestones and is included as part of the purchase price. During 2019, the Company recorded a $0.2 million fair value re-measurement adjustment and made payments of $0.5 million in earn-out consideration. During the three months ended March 31, 2020, the Company recorded a $0.3 million fair value re-measurement adjustment, which was recorded in loss from operations as a decrease in general and administrative expenses. The Company settled the remaining contingent earn-out of approximately $0.3 million in stock. As of March 31, 2020, there are no additional contingent earn-out payments.</w:t>
      </w:r>
    </w:p>
    <w:p>
      <w:pPr>
        <w:spacing w:after="0" w:line="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purchase price allocation resulted in approximately $9.1 million of goodwill and approximately $2.2 million of intangible assets. The goodwill will not be deductible for tax purposes. The intangible assets are being amortized over their expected period of benefit. A deferred tax liability for the identified intangibles has been recorded.</w:t>
      </w:r>
    </w:p>
    <w:p>
      <w:pPr>
        <w:spacing w:after="0" w:line="76" w:lineRule="exact"/>
        <w:rPr>
          <w:sz w:val="20"/>
          <w:szCs w:val="20"/>
          <w:color w:val="auto"/>
        </w:rPr>
      </w:pPr>
    </w:p>
    <w:p>
      <w:pPr>
        <w:jc w:val="both"/>
        <w:ind w:firstLine="280"/>
        <w:spacing w:after="0" w:line="277" w:lineRule="auto"/>
        <w:rPr>
          <w:sz w:val="20"/>
          <w:szCs w:val="20"/>
          <w:color w:val="auto"/>
        </w:rPr>
      </w:pPr>
      <w:r>
        <w:rPr>
          <w:rFonts w:ascii="Arial" w:cs="Arial" w:eastAsia="Arial" w:hAnsi="Arial"/>
          <w:sz w:val="18"/>
          <w:szCs w:val="18"/>
          <w:color w:val="auto"/>
        </w:rPr>
        <w:t>AdvantageTec Inc. enhances the Company’s messaging platform available for the automotive industry and is included in the Company's business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Conversable, Inc.</w:t>
      </w:r>
    </w:p>
    <w:p>
      <w:pPr>
        <w:spacing w:after="0" w:line="1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September 2018, the Company acquired the employees and technology assets of Conversable, Inc. a SaaS based Artificial Intelligence powered conversational platform, headquartered in Austin, Texas, for an aggregate estimated purchase price of $5.7 million. The estimated purchase price consisted of $1.3 million in cash, approximately $2.9 million in shares of common stock of the Company, and a potential earn-out consideration of $1.5 million in cash, which is based on achieving certain targeted financial, strategic, and integration objectives and milestones and is included as part of the purchase price. During 2019, the Company recorded a $0.5 million fair value re-measurement adjustment and settled the remaining contingent earn-out in stock.</w:t>
      </w:r>
    </w:p>
    <w:p>
      <w:pPr>
        <w:spacing w:after="0" w:line="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purchase price allocation resulted in approximately $5.5 million of goodwill and approximately $0.5 million of intangible assets. The goodwill will be deductible for tax purposes. The intangible assets are being amortized over their expected period of benefit. The allocation of the purchase price to net book value of acquired assets and liabilities resulted in a net liability of $0.3 million, which includes accounts receivable, property and equipment, accrued expenses, and deferred revenue.</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Conversable Inc.’s capabilities will accelerate the ongoing expansion of the Company's Conversational Commerce solutions and enhance the Company’s ability to deliver proactive and personalized content and services when and where the customer needs it, helping consumers find immediate service through messaging. Conversable, Inc. is included in the Company's business segment.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75"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BotCentral, Inc.</w:t>
      </w:r>
    </w:p>
    <w:p>
      <w:pPr>
        <w:spacing w:after="0" w:line="3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2018, the Company acquired the employees and technology assets of BotCentral, Inc., a Silicon Valley based startup, for a purchase price of approximately $1.0 million in common stock of the Company. The Company incurred an additional $0.2 million related to acquisition costs. This transaction was accounted for as an asset purchase. The aggregate amount of approximately $1.2 million is included in intangibles on the Company's consolidated balance sheet. With the BotCentral team's expertise and knowledge of the LiveEngage platform, the team is bringing valuable insight for the Company's customers and partners, and enabling the company to more rapidly optimize its bot deployment capabilities, and grow the ecosystem. BotCentral, Inc. is included in the Company's business segment.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84" w:lineRule="exact"/>
        <w:rPr>
          <w:sz w:val="20"/>
          <w:szCs w:val="20"/>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1140" w:hanging="322"/>
        <w:spacing w:after="0" w:line="263"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5"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March 31, 2020 and December 31, 2019, are summarized as follows (amounts in thousands).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5"/>
          </w:tcPr>
          <w:p>
            <w:pPr>
              <w:ind w:left="260"/>
              <w:spacing w:after="0"/>
              <w:rPr>
                <w:sz w:val="20"/>
                <w:szCs w:val="20"/>
                <w:color w:val="auto"/>
              </w:rPr>
            </w:pPr>
            <w:r>
              <w:rPr>
                <w:rFonts w:ascii="Arial" w:cs="Arial" w:eastAsia="Arial" w:hAnsi="Arial"/>
                <w:sz w:val="16"/>
                <w:szCs w:val="16"/>
                <w:b w:val="1"/>
                <w:bCs w:val="1"/>
                <w:color w:val="auto"/>
              </w:rPr>
              <w:t>March 31, 2020</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5"/>
          </w:tcPr>
          <w:p>
            <w:pPr>
              <w:ind w:left="60"/>
              <w:spacing w:after="0"/>
              <w:rPr>
                <w:sz w:val="20"/>
                <w:szCs w:val="20"/>
                <w:color w:val="auto"/>
              </w:rPr>
            </w:pPr>
            <w:r>
              <w:rPr>
                <w:rFonts w:ascii="Arial" w:cs="Arial" w:eastAsia="Arial" w:hAnsi="Arial"/>
                <w:sz w:val="16"/>
                <w:szCs w:val="16"/>
                <w:b w:val="1"/>
                <w:bCs w:val="1"/>
                <w:color w:val="auto"/>
              </w:rPr>
              <w:t>December 31, 2019</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3"/>
        </w:trPr>
        <w:tc>
          <w:tcPr>
            <w:tcW w:w="3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8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Total</w:t>
            </w:r>
          </w:p>
        </w:tc>
      </w:tr>
      <w:tr>
        <w:trPr>
          <w:trHeight w:val="33"/>
        </w:trPr>
        <w:tc>
          <w:tcPr>
            <w:tcW w:w="38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spacing w:after="0"/>
              <w:rPr>
                <w:sz w:val="21"/>
                <w:szCs w:val="21"/>
                <w:color w:val="auto"/>
              </w:rPr>
            </w:pPr>
          </w:p>
        </w:tc>
      </w:tr>
      <w:tr>
        <w:trPr>
          <w:trHeight w:val="237"/>
        </w:trPr>
        <w:tc>
          <w:tcPr>
            <w:tcW w:w="382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38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2,906</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gridSpan w:val="2"/>
            <w:shd w:val="clear" w:color="auto" w:fill="CCFFCC"/>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2,906</w:t>
            </w:r>
          </w:p>
        </w:tc>
        <w:tc>
          <w:tcPr>
            <w:tcW w:w="2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2,899</w:t>
            </w:r>
          </w:p>
        </w:tc>
        <w:tc>
          <w:tcPr>
            <w:tcW w:w="10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2,899</w:t>
            </w:r>
          </w:p>
        </w:tc>
      </w:tr>
      <w:tr>
        <w:trPr>
          <w:trHeight w:val="283"/>
        </w:trPr>
        <w:tc>
          <w:tcPr>
            <w:tcW w:w="382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2,906</w:t>
            </w:r>
          </w:p>
        </w:tc>
        <w:tc>
          <w:tcPr>
            <w:tcW w:w="120" w:type="dxa"/>
            <w:vAlign w:val="bottom"/>
            <w:tcBorders>
              <w:bottom w:val="single" w:sz="8" w:color="CCFFCC"/>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2,906</w:t>
            </w:r>
          </w:p>
        </w:tc>
        <w:tc>
          <w:tcPr>
            <w:tcW w:w="220" w:type="dxa"/>
            <w:vAlign w:val="bottom"/>
            <w:tcBorders>
              <w:bottom w:val="single" w:sz="8" w:color="CCFFCC"/>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2,899</w:t>
            </w:r>
          </w:p>
        </w:tc>
        <w:tc>
          <w:tcPr>
            <w:tcW w:w="100" w:type="dxa"/>
            <w:vAlign w:val="bottom"/>
            <w:tcBorders>
              <w:bottom w:val="single" w:sz="8" w:color="CCFFCC"/>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2,899</w:t>
            </w:r>
          </w:p>
        </w:tc>
      </w:tr>
      <w:tr>
        <w:trPr>
          <w:trHeight w:val="311"/>
        </w:trPr>
        <w:tc>
          <w:tcPr>
            <w:tcW w:w="38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7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600" w:type="dxa"/>
            <w:vAlign w:val="bottom"/>
            <w:shd w:val="clear" w:color="auto" w:fill="CCFFCC"/>
          </w:tcPr>
          <w:p>
            <w:pPr>
              <w:spacing w:after="0"/>
              <w:rPr>
                <w:sz w:val="24"/>
                <w:szCs w:val="24"/>
                <w:color w:val="auto"/>
              </w:rPr>
            </w:pPr>
          </w:p>
        </w:tc>
      </w:tr>
      <w:tr>
        <w:trPr>
          <w:trHeight w:val="237"/>
        </w:trPr>
        <w:tc>
          <w:tcPr>
            <w:tcW w:w="38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38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Contingent earn-out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gridSpan w:val="2"/>
            <w:shd w:val="clear" w:color="auto" w:fill="CCFFCC"/>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FFCC"/>
            </w:tcBorders>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557</w:t>
            </w:r>
          </w:p>
        </w:tc>
      </w:tr>
      <w:tr>
        <w:trPr>
          <w:trHeight w:val="243"/>
        </w:trPr>
        <w:tc>
          <w:tcPr>
            <w:tcW w:w="382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557</w:t>
            </w:r>
          </w:p>
        </w:tc>
      </w:tr>
      <w:tr>
        <w:trPr>
          <w:trHeight w:val="20"/>
        </w:trPr>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money market funds are measured at fair value on a recurring basis based on quoted market prices in active markets and are classified as level 1 within the fair value hierarchy. The Company's contingent earn-out liability is measured at fair value on a recurring basis and is classified as level 3 within the fair value hierarchy. On a nonrecurring basis, the Company uses fair value measures when analyzing asset impairment. Long-lived tangible assets are reviewed for impairment whenever</w:t>
      </w:r>
    </w:p>
    <w:p>
      <w:pPr>
        <w:sectPr>
          <w:pgSz w:w="11900" w:h="16838" w:orient="portrait"/>
          <w:cols w:equalWidth="0" w:num="1">
            <w:col w:w="11240"/>
          </w:cols>
          <w:pgMar w:left="320" w:top="175"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75"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2020, the fair value of the Notes, as further described in Note 8 above, was approximately $179.6 million. Management determines the fair value by utilizing an independent valuation specialist using the antithetic variable technique and is considered a level 2 fair value measurement.</w:t>
      </w:r>
    </w:p>
    <w:p>
      <w:pPr>
        <w:spacing w:after="0" w:line="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recorded a contingent earn-out of $2.4 million in December 2018 in connection with the acquisitions of Conversable, Inc. and AdvantageTec Inc. The contingent earn-out is based on achieving certain targeted financial, strategic, and integration objectives. The unobservable inputs considered are probability factors and the time value of money. During the year ended December 31, 2019, the contingent earn-out decreased by $1.8 million due to a decrease in re-measurement to fair value of Conversable, Inc. of $0.5 million and payments of $0.5 million in cash and $1.0 million in shares, offset in part by an increase of re-measurement to fair value of AdvantageTec Inc. of $0.2 million. During the three months ended March 31, 2020, the contingent earn-out decreased by $0.6 million due to a decrease in re-measurement in fair value of AdvantageTec Inc. of $0.3 million and payments of $0.3 million in shares.</w:t>
      </w:r>
    </w:p>
    <w:p>
      <w:pPr>
        <w:spacing w:after="0" w:line="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there was no remaining contingent earn-out balance as of March 31, 2020. See Note 9 of the Notes to condensed consolidated financial statements for a full description of the acquisition.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fair value of the level 3 liabilities are as follows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center"/>
              <w:ind w:right="61"/>
              <w:spacing w:after="0"/>
              <w:rPr>
                <w:sz w:val="20"/>
                <w:szCs w:val="20"/>
                <w:color w:val="auto"/>
              </w:rPr>
            </w:pPr>
            <w:r>
              <w:rPr>
                <w:rFonts w:ascii="Arial" w:cs="Arial" w:eastAsia="Arial" w:hAnsi="Arial"/>
                <w:sz w:val="14"/>
                <w:szCs w:val="14"/>
                <w:b w:val="1"/>
                <w:bCs w:val="1"/>
                <w:color w:val="auto"/>
                <w:w w:val="95"/>
              </w:rPr>
              <w:t>Contingent Earn-Out</w:t>
            </w:r>
          </w:p>
        </w:tc>
      </w:tr>
      <w:tr>
        <w:trPr>
          <w:trHeight w:val="263"/>
        </w:trPr>
        <w:tc>
          <w:tcPr>
            <w:tcW w:w="8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22"/>
                <w:szCs w:val="22"/>
                <w:color w:val="auto"/>
              </w:rPr>
            </w:pPr>
          </w:p>
        </w:tc>
        <w:tc>
          <w:tcPr>
            <w:tcW w:w="1400" w:type="dxa"/>
            <w:vAlign w:val="bottom"/>
          </w:tcPr>
          <w:p>
            <w:pPr>
              <w:jc w:val="right"/>
              <w:ind w:right="121"/>
              <w:spacing w:after="0"/>
              <w:rPr>
                <w:sz w:val="20"/>
                <w:szCs w:val="20"/>
                <w:color w:val="auto"/>
              </w:rPr>
            </w:pPr>
            <w:r>
              <w:rPr>
                <w:rFonts w:ascii="Arial" w:cs="Arial" w:eastAsia="Arial" w:hAnsi="Arial"/>
                <w:sz w:val="14"/>
                <w:szCs w:val="14"/>
                <w:b w:val="1"/>
                <w:bCs w:val="1"/>
                <w:color w:val="auto"/>
                <w:w w:val="93"/>
              </w:rPr>
              <w:t>December 31, 2019</w:t>
            </w:r>
          </w:p>
        </w:tc>
      </w:tr>
      <w:tr>
        <w:trPr>
          <w:trHeight w:val="236"/>
        </w:trPr>
        <w:tc>
          <w:tcPr>
            <w:tcW w:w="822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Beginning of period</w:t>
            </w:r>
          </w:p>
        </w:tc>
        <w:tc>
          <w:tcPr>
            <w:tcW w:w="1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557</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60" w:type="dxa"/>
            <w:vAlign w:val="bottom"/>
            <w:tcBorders>
              <w:top w:val="single" w:sz="8" w:color="auto"/>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2,372</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Conversable, Inc. fair value adjustment (see Note 9)</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(496)</w:t>
            </w:r>
          </w:p>
        </w:tc>
      </w:tr>
      <w:tr>
        <w:trPr>
          <w:trHeight w:val="33"/>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2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AdvantageTec Inc. fair value adjustment (see Note 9)</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40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168</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Payments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(1,487)</w:t>
            </w:r>
          </w:p>
        </w:tc>
      </w:tr>
      <w:tr>
        <w:trPr>
          <w:trHeight w:val="33"/>
        </w:trPr>
        <w:tc>
          <w:tcPr>
            <w:tcW w:w="82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220" w:type="dxa"/>
            <w:vAlign w:val="bottom"/>
            <w:shd w:val="clear" w:color="auto" w:fill="CCFFCC"/>
          </w:tcPr>
          <w:p>
            <w:pPr>
              <w:ind w:left="40"/>
              <w:spacing w:after="0"/>
              <w:rPr>
                <w:sz w:val="20"/>
                <w:szCs w:val="20"/>
                <w:color w:val="auto"/>
              </w:rPr>
            </w:pPr>
            <w:r>
              <w:rPr>
                <w:rFonts w:ascii="Arial" w:cs="Arial" w:eastAsia="Arial" w:hAnsi="Arial"/>
                <w:sz w:val="16"/>
                <w:szCs w:val="16"/>
                <w:color w:val="auto"/>
              </w:rPr>
              <w:t>Balance, End of period</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FFCC"/>
          </w:tcPr>
          <w:p>
            <w:pPr>
              <w:jc w:val="right"/>
              <w:ind w:right="21"/>
              <w:spacing w:after="0"/>
              <w:rPr>
                <w:sz w:val="20"/>
                <w:szCs w:val="20"/>
                <w:color w:val="auto"/>
              </w:rPr>
            </w:pPr>
            <w:r>
              <w:rPr>
                <w:rFonts w:ascii="Arial" w:cs="Arial" w:eastAsia="Arial" w:hAnsi="Arial"/>
                <w:sz w:val="16"/>
                <w:szCs w:val="16"/>
                <w:color w:val="auto"/>
              </w:rPr>
              <w:t>557</w:t>
            </w:r>
          </w:p>
        </w:tc>
      </w:tr>
      <w:tr>
        <w:trPr>
          <w:trHeight w:val="20"/>
        </w:trPr>
        <w:tc>
          <w:tcPr>
            <w:tcW w:w="82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leases facilities and certain car leases (the "leases") under agreements accounted for as operating leases. The leases have initial lease terms ranging from 1 years to 12 years. Payments due under the lease contracts include primarily fixed payments. The lease terms include periods under options to extend or terminate the lease when it is reasonably certain that we will exercise that option. Currently, there are no operating leases where we believe it is reasonably certain that the Company will exercise any option to extend the initial term.</w:t>
      </w:r>
    </w:p>
    <w:p>
      <w:pPr>
        <w:spacing w:after="0" w:line="9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has evaluated its facility leases and determined which leases met the definition of the new standard in accordance with Topic 842. The Company also performed an evaluation of their other contracts with suppliers in accordance with Topic 842 and have determined that, except for the facilities and car leases described above, none of its supply contracts contain a lease. Further, the Company has made an accounting policy election to keep leases with a term of twelve months or less off the balance sheet. This policy applies to all classes of the underlying assets. The Company will recognize those lease payments and associated interest expense in the consolidated statement of operations evenly over the lease term.</w:t>
      </w:r>
    </w:p>
    <w:p>
      <w:pPr>
        <w:spacing w:after="0" w:line="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elected the “package of practical expedients,” which permits the Company not to reassess under ASC 842 its prior conclusions about lease identification, lease classification and initial direct costs. The Company also made a policy election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75"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 to separate non-lease components from lease components. Furthermore, the Company elected to not capitalize leases with a term of 12 months or less and recognize the lease expense for such leases generally on a straight-line basis over the lease term.</w:t>
      </w:r>
    </w:p>
    <w:p>
      <w:pPr>
        <w:spacing w:after="0" w:line="8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connection with the leases, the Company recognized operating lease right-of-use assets of $14.8 million and $15.7 million and an aggregate lease liability of $18.8 million and $19.5 million in its condensed consolidated balance sheet as of March 31, 2020 and December 31, 2019, respectively.</w:t>
      </w:r>
    </w:p>
    <w:p>
      <w:pPr>
        <w:spacing w:after="0" w:line="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determination of the discount rate used to calculate the present value of the right-of-use assets and lease liabilities depends on whether an interest rate is specified in the lease or not. If the lease specifies a rate, that rate is used when calculating the present value of lease payments. If the rate is not readily determinable, which is generally the case for the Company, the Company’s incremental borrowing rate (“IBR”) as of the date of inception of the lease is used (for initial measurement, the IBR was determined as of the adoption date of the standard). The IBR is the rate of interest that the Company would have to pay to borrow on a collateralized basis over a similar term and amount equal to the lease payments in a similar economic environment. The Company used a ratings benchmark report against its peers in the technology sector.</w:t>
      </w:r>
    </w:p>
    <w:p>
      <w:pPr>
        <w:spacing w:after="0" w:line="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operating leases for its corporate offices and other service agreements. The Company's leases have remaining lease terms of 1 to 12 years, some of which include options to extend. The Company's lease expense for the three months ended March 31, 2020 and 2019, consisting entirely of operating leases, was approximately $3.4 million and $2.9 million, respectively. Operating lease payments, which reduced operating cash flows, amounted to $2.0 million and $1.5 million for the three months ended March 31, 2020 and March 31, 2019, respectively.</w:t>
      </w:r>
    </w:p>
    <w:p>
      <w:pPr>
        <w:spacing w:after="0" w:line="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March 31, 2020, the Company decided to abandon the Berlin office. The cease use date was March 31, 2020. According to ASC 842, the Company elected to apply the "loss of straight-line lease cost", amortizing the remaining right-of-use asset of approximately $0.4 million from the decision date to the cease use date. This expense is included in restructuring costs in the condensed consolidated statements of operations.</w:t>
      </w:r>
    </w:p>
    <w:p>
      <w:pPr>
        <w:spacing w:after="0" w:line="106"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 March 31, 2020</w:t>
            </w:r>
          </w:p>
        </w:tc>
        <w:tc>
          <w:tcPr>
            <w:tcW w:w="180" w:type="dxa"/>
            <w:vAlign w:val="bottom"/>
          </w:tcPr>
          <w:p>
            <w:pPr>
              <w:spacing w:after="0"/>
              <w:rPr>
                <w:sz w:val="16"/>
                <w:szCs w:val="16"/>
                <w:color w:val="auto"/>
              </w:rPr>
            </w:pPr>
          </w:p>
        </w:tc>
        <w:tc>
          <w:tcPr>
            <w:tcW w:w="1880" w:type="dxa"/>
            <w:vAlign w:val="bottom"/>
          </w:tcPr>
          <w:p>
            <w:pPr>
              <w:jc w:val="right"/>
              <w:ind w:right="200"/>
              <w:spacing w:after="0"/>
              <w:rPr>
                <w:sz w:val="20"/>
                <w:szCs w:val="20"/>
                <w:color w:val="auto"/>
              </w:rPr>
            </w:pPr>
            <w:r>
              <w:rPr>
                <w:rFonts w:ascii="Arial" w:cs="Arial" w:eastAsia="Arial" w:hAnsi="Arial"/>
                <w:sz w:val="14"/>
                <w:szCs w:val="14"/>
                <w:b w:val="1"/>
                <w:bCs w:val="1"/>
                <w:color w:val="auto"/>
                <w:w w:val="95"/>
              </w:rPr>
              <w:t>As of December 31, 2019</w:t>
            </w:r>
          </w:p>
        </w:tc>
      </w:tr>
      <w:tr>
        <w:trPr>
          <w:trHeight w:val="270"/>
        </w:trPr>
        <w:tc>
          <w:tcPr>
            <w:tcW w:w="6900" w:type="dxa"/>
            <w:vAlign w:val="bottom"/>
            <w:shd w:val="clear" w:color="auto" w:fill="CCFFCC"/>
          </w:tcPr>
          <w:p>
            <w:pPr>
              <w:ind w:left="40"/>
              <w:spacing w:after="0"/>
              <w:rPr>
                <w:sz w:val="20"/>
                <w:szCs w:val="20"/>
                <w:color w:val="auto"/>
              </w:rPr>
            </w:pPr>
            <w:r>
              <w:rPr>
                <w:rFonts w:ascii="Arial" w:cs="Arial" w:eastAsia="Arial" w:hAnsi="Arial"/>
                <w:sz w:val="16"/>
                <w:szCs w:val="16"/>
                <w:b w:val="1"/>
                <w:bCs w:val="1"/>
                <w:color w:val="auto"/>
              </w:rPr>
              <w:t>Operating Leases</w:t>
            </w:r>
          </w:p>
        </w:tc>
        <w:tc>
          <w:tcPr>
            <w:tcW w:w="260" w:type="dxa"/>
            <w:vAlign w:val="bottom"/>
            <w:tcBorders>
              <w:bottom w:val="single" w:sz="8" w:color="auto"/>
            </w:tcBorders>
            <w:shd w:val="clear" w:color="auto" w:fill="CCFFCC"/>
          </w:tcPr>
          <w:p>
            <w:pPr>
              <w:spacing w:after="0"/>
              <w:rPr>
                <w:sz w:val="23"/>
                <w:szCs w:val="23"/>
                <w:color w:val="auto"/>
              </w:rPr>
            </w:pPr>
          </w:p>
        </w:tc>
        <w:tc>
          <w:tcPr>
            <w:tcW w:w="4080" w:type="dxa"/>
            <w:vAlign w:val="bottom"/>
            <w:tcBorders>
              <w:bottom w:val="single" w:sz="8" w:color="auto"/>
            </w:tcBorders>
            <w:gridSpan w:val="4"/>
            <w:shd w:val="clear" w:color="auto" w:fill="CCFFCC"/>
          </w:tcPr>
          <w:p>
            <w:pPr>
              <w:jc w:val="right"/>
              <w:ind w:right="520"/>
              <w:spacing w:after="0"/>
              <w:rPr>
                <w:sz w:val="20"/>
                <w:szCs w:val="20"/>
                <w:color w:val="auto"/>
              </w:rPr>
            </w:pPr>
            <w:r>
              <w:rPr>
                <w:rFonts w:ascii="Arial" w:cs="Arial" w:eastAsia="Arial" w:hAnsi="Arial"/>
                <w:sz w:val="14"/>
                <w:szCs w:val="14"/>
                <w:b w:val="1"/>
                <w:bCs w:val="1"/>
                <w:color w:val="auto"/>
              </w:rPr>
              <w:t>(in thousands, except lease term and discount rate)</w:t>
            </w:r>
          </w:p>
        </w:tc>
      </w:tr>
      <w:tr>
        <w:trPr>
          <w:trHeight w:val="236"/>
        </w:trPr>
        <w:tc>
          <w:tcPr>
            <w:tcW w:w="6900" w:type="dxa"/>
            <w:vAlign w:val="bottom"/>
          </w:tcPr>
          <w:p>
            <w:pPr>
              <w:ind w:left="40"/>
              <w:spacing w:after="0"/>
              <w:rPr>
                <w:sz w:val="20"/>
                <w:szCs w:val="20"/>
                <w:color w:val="auto"/>
              </w:rPr>
            </w:pPr>
            <w:r>
              <w:rPr>
                <w:rFonts w:ascii="Arial" w:cs="Arial" w:eastAsia="Arial" w:hAnsi="Arial"/>
                <w:sz w:val="16"/>
                <w:szCs w:val="16"/>
                <w:color w:val="auto"/>
              </w:rPr>
              <w:t>Right-of-use asset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81"/>
              <w:spacing w:after="0"/>
              <w:rPr>
                <w:sz w:val="20"/>
                <w:szCs w:val="20"/>
                <w:color w:val="auto"/>
              </w:rPr>
            </w:pPr>
            <w:r>
              <w:rPr>
                <w:rFonts w:ascii="Arial" w:cs="Arial" w:eastAsia="Arial" w:hAnsi="Arial"/>
                <w:sz w:val="16"/>
                <w:szCs w:val="16"/>
                <w:color w:val="auto"/>
              </w:rPr>
              <w:t>14,800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80"/>
              <w:spacing w:after="0"/>
              <w:rPr>
                <w:sz w:val="20"/>
                <w:szCs w:val="20"/>
                <w:color w:val="auto"/>
              </w:rPr>
            </w:pPr>
            <w:r>
              <w:rPr>
                <w:rFonts w:ascii="Arial" w:cs="Arial" w:eastAsia="Arial" w:hAnsi="Arial"/>
                <w:sz w:val="16"/>
                <w:szCs w:val="16"/>
                <w:color w:val="auto"/>
              </w:rPr>
              <w:t>15,680</w:t>
            </w:r>
          </w:p>
        </w:tc>
      </w:tr>
      <w:tr>
        <w:trPr>
          <w:trHeight w:val="33"/>
        </w:trPr>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97"/>
        </w:trPr>
        <w:tc>
          <w:tcPr>
            <w:tcW w:w="690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1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1880" w:type="dxa"/>
            <w:vAlign w:val="bottom"/>
            <w:shd w:val="clear" w:color="auto" w:fill="CCFFCC"/>
          </w:tcPr>
          <w:p>
            <w:pPr>
              <w:spacing w:after="0"/>
              <w:rPr>
                <w:sz w:val="24"/>
                <w:szCs w:val="24"/>
                <w:color w:val="auto"/>
              </w:rPr>
            </w:pPr>
          </w:p>
        </w:tc>
      </w:tr>
      <w:tr>
        <w:trPr>
          <w:trHeight w:val="237"/>
        </w:trPr>
        <w:tc>
          <w:tcPr>
            <w:tcW w:w="6900" w:type="dxa"/>
            <w:vAlign w:val="bottom"/>
          </w:tcPr>
          <w:p>
            <w:pPr>
              <w:ind w:left="40"/>
              <w:spacing w:after="0"/>
              <w:rPr>
                <w:sz w:val="20"/>
                <w:szCs w:val="20"/>
                <w:color w:val="auto"/>
              </w:rPr>
            </w:pPr>
            <w:r>
              <w:rPr>
                <w:rFonts w:ascii="Arial" w:cs="Arial" w:eastAsia="Arial" w:hAnsi="Arial"/>
                <w:sz w:val="16"/>
                <w:szCs w:val="16"/>
                <w:color w:val="auto"/>
              </w:rPr>
              <w:t>Current operating lease liability</w:t>
            </w:r>
          </w:p>
        </w:tc>
        <w:tc>
          <w:tcPr>
            <w:tcW w:w="260" w:type="dxa"/>
            <w:vAlign w:val="bottom"/>
          </w:tcPr>
          <w:p>
            <w:pPr>
              <w:spacing w:after="0"/>
              <w:rPr>
                <w:sz w:val="20"/>
                <w:szCs w:val="20"/>
                <w:color w:val="auto"/>
              </w:rPr>
            </w:pPr>
          </w:p>
        </w:tc>
        <w:tc>
          <w:tcPr>
            <w:tcW w:w="1900" w:type="dxa"/>
            <w:vAlign w:val="bottom"/>
          </w:tcPr>
          <w:p>
            <w:pPr>
              <w:jc w:val="right"/>
              <w:ind w:right="81"/>
              <w:spacing w:after="0"/>
              <w:rPr>
                <w:sz w:val="20"/>
                <w:szCs w:val="20"/>
                <w:color w:val="auto"/>
              </w:rPr>
            </w:pPr>
            <w:r>
              <w:rPr>
                <w:rFonts w:ascii="Arial" w:cs="Arial" w:eastAsia="Arial" w:hAnsi="Arial"/>
                <w:sz w:val="16"/>
                <w:szCs w:val="16"/>
                <w:color w:val="auto"/>
              </w:rPr>
              <w:t>6,561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80"/>
              <w:spacing w:after="0"/>
              <w:rPr>
                <w:sz w:val="20"/>
                <w:szCs w:val="20"/>
                <w:color w:val="auto"/>
              </w:rPr>
            </w:pPr>
            <w:r>
              <w:rPr>
                <w:rFonts w:ascii="Arial" w:cs="Arial" w:eastAsia="Arial" w:hAnsi="Arial"/>
                <w:sz w:val="16"/>
                <w:szCs w:val="16"/>
                <w:color w:val="auto"/>
              </w:rPr>
              <w:t>6,602</w:t>
            </w:r>
          </w:p>
        </w:tc>
      </w:tr>
      <w:tr>
        <w:trPr>
          <w:trHeight w:val="33"/>
        </w:trPr>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9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Long term operating lease liability</w:t>
            </w:r>
          </w:p>
        </w:tc>
        <w:tc>
          <w:tcPr>
            <w:tcW w:w="260" w:type="dxa"/>
            <w:vAlign w:val="bottom"/>
            <w:tcBorders>
              <w:bottom w:val="single" w:sz="8" w:color="CCFFCC"/>
            </w:tcBorders>
            <w:shd w:val="clear" w:color="auto" w:fill="CCFFCC"/>
          </w:tcPr>
          <w:p>
            <w:pPr>
              <w:spacing w:after="0"/>
              <w:rPr>
                <w:sz w:val="23"/>
                <w:szCs w:val="23"/>
                <w:color w:val="auto"/>
              </w:rPr>
            </w:pPr>
          </w:p>
        </w:tc>
        <w:tc>
          <w:tcPr>
            <w:tcW w:w="1900" w:type="dxa"/>
            <w:vAlign w:val="bottom"/>
            <w:tcBorders>
              <w:bottom w:val="single" w:sz="8" w:color="CCFFCC"/>
            </w:tcBorders>
            <w:shd w:val="clear" w:color="auto" w:fill="CCFFCC"/>
          </w:tcPr>
          <w:p>
            <w:pPr>
              <w:jc w:val="right"/>
              <w:ind w:right="81"/>
              <w:spacing w:after="0"/>
              <w:rPr>
                <w:sz w:val="20"/>
                <w:szCs w:val="20"/>
                <w:color w:val="auto"/>
              </w:rPr>
            </w:pPr>
            <w:r>
              <w:rPr>
                <w:rFonts w:ascii="Arial" w:cs="Arial" w:eastAsia="Arial" w:hAnsi="Arial"/>
                <w:sz w:val="16"/>
                <w:szCs w:val="16"/>
                <w:color w:val="auto"/>
              </w:rPr>
              <w:t>12,251</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880" w:type="dxa"/>
            <w:vAlign w:val="bottom"/>
            <w:tcBorders>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rPr>
              <w:t>12,865</w:t>
            </w:r>
          </w:p>
        </w:tc>
      </w:tr>
      <w:tr>
        <w:trPr>
          <w:trHeight w:val="217"/>
        </w:trPr>
        <w:tc>
          <w:tcPr>
            <w:tcW w:w="6900" w:type="dxa"/>
            <w:vAlign w:val="bottom"/>
          </w:tcPr>
          <w:p>
            <w:pPr>
              <w:ind w:left="200"/>
              <w:spacing w:after="0"/>
              <w:rPr>
                <w:sz w:val="20"/>
                <w:szCs w:val="20"/>
                <w:color w:val="auto"/>
              </w:rPr>
            </w:pPr>
            <w:r>
              <w:rPr>
                <w:rFonts w:ascii="Arial" w:cs="Arial" w:eastAsia="Arial" w:hAnsi="Arial"/>
                <w:sz w:val="16"/>
                <w:szCs w:val="16"/>
                <w:color w:val="auto"/>
              </w:rPr>
              <w:t>Total operating lease liability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18,812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19,467</w:t>
            </w:r>
          </w:p>
        </w:tc>
      </w:tr>
      <w:tr>
        <w:trPr>
          <w:trHeight w:val="33"/>
        </w:trPr>
        <w:tc>
          <w:tcPr>
            <w:tcW w:w="69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91"/>
        </w:trPr>
        <w:tc>
          <w:tcPr>
            <w:tcW w:w="690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1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1880" w:type="dxa"/>
            <w:vAlign w:val="bottom"/>
            <w:shd w:val="clear" w:color="auto" w:fill="CCFFCC"/>
          </w:tcPr>
          <w:p>
            <w:pPr>
              <w:spacing w:after="0"/>
              <w:rPr>
                <w:sz w:val="24"/>
                <w:szCs w:val="24"/>
                <w:color w:val="auto"/>
              </w:rPr>
            </w:pPr>
          </w:p>
        </w:tc>
      </w:tr>
      <w:tr>
        <w:trPr>
          <w:trHeight w:val="237"/>
        </w:trPr>
        <w:tc>
          <w:tcPr>
            <w:tcW w:w="6900" w:type="dxa"/>
            <w:vAlign w:val="bottom"/>
          </w:tcPr>
          <w:p>
            <w:pPr>
              <w:ind w:left="40"/>
              <w:spacing w:after="0"/>
              <w:rPr>
                <w:sz w:val="20"/>
                <w:szCs w:val="20"/>
                <w:color w:val="auto"/>
              </w:rPr>
            </w:pPr>
            <w:r>
              <w:rPr>
                <w:rFonts w:ascii="Arial" w:cs="Arial" w:eastAsia="Arial" w:hAnsi="Arial"/>
                <w:sz w:val="16"/>
                <w:szCs w:val="16"/>
                <w:b w:val="1"/>
                <w:bCs w:val="1"/>
                <w:color w:val="auto"/>
              </w:rPr>
              <w:t>Weighted Average Remaining Lease Term</w:t>
            </w: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6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9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Operating leases</w:t>
            </w:r>
          </w:p>
        </w:tc>
        <w:tc>
          <w:tcPr>
            <w:tcW w:w="260" w:type="dxa"/>
            <w:vAlign w:val="bottom"/>
            <w:tcBorders>
              <w:bottom w:val="single" w:sz="8" w:color="CCFFCC"/>
            </w:tcBorders>
            <w:shd w:val="clear" w:color="auto" w:fill="CCFFCC"/>
          </w:tcPr>
          <w:p>
            <w:pPr>
              <w:spacing w:after="0"/>
              <w:rPr>
                <w:sz w:val="21"/>
                <w:szCs w:val="21"/>
                <w:color w:val="auto"/>
              </w:rPr>
            </w:pPr>
          </w:p>
        </w:tc>
        <w:tc>
          <w:tcPr>
            <w:tcW w:w="2020" w:type="dxa"/>
            <w:vAlign w:val="bottom"/>
            <w:tcBorders>
              <w:bottom w:val="single" w:sz="8" w:color="CCFFCC"/>
            </w:tcBorders>
            <w:gridSpan w:val="2"/>
            <w:shd w:val="clear" w:color="auto" w:fill="CCFFCC"/>
          </w:tcPr>
          <w:p>
            <w:pPr>
              <w:ind w:left="1160"/>
              <w:spacing w:after="0"/>
              <w:rPr>
                <w:sz w:val="20"/>
                <w:szCs w:val="20"/>
                <w:color w:val="auto"/>
              </w:rPr>
            </w:pPr>
            <w:r>
              <w:rPr>
                <w:rFonts w:ascii="Arial" w:cs="Arial" w:eastAsia="Arial" w:hAnsi="Arial"/>
                <w:sz w:val="16"/>
                <w:szCs w:val="16"/>
                <w:color w:val="auto"/>
              </w:rPr>
              <w:t>3.5 years</w:t>
            </w:r>
          </w:p>
        </w:tc>
        <w:tc>
          <w:tcPr>
            <w:tcW w:w="180" w:type="dxa"/>
            <w:vAlign w:val="bottom"/>
            <w:tcBorders>
              <w:bottom w:val="single" w:sz="8" w:color="CCFFCC"/>
            </w:tcBorders>
            <w:shd w:val="clear" w:color="auto" w:fill="CCFFCC"/>
          </w:tcPr>
          <w:p>
            <w:pPr>
              <w:spacing w:after="0"/>
              <w:rPr>
                <w:sz w:val="21"/>
                <w:szCs w:val="21"/>
                <w:color w:val="auto"/>
              </w:rPr>
            </w:pPr>
          </w:p>
        </w:tc>
        <w:tc>
          <w:tcPr>
            <w:tcW w:w="1880" w:type="dxa"/>
            <w:vAlign w:val="bottom"/>
            <w:tcBorders>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rPr>
              <w:t>3.5 years</w:t>
            </w:r>
          </w:p>
        </w:tc>
      </w:tr>
      <w:tr>
        <w:trPr>
          <w:trHeight w:val="297"/>
        </w:trPr>
        <w:tc>
          <w:tcPr>
            <w:tcW w:w="6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0"/>
        </w:trPr>
        <w:tc>
          <w:tcPr>
            <w:tcW w:w="69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Weighted Average Discount Rate</w:t>
            </w:r>
          </w:p>
        </w:tc>
        <w:tc>
          <w:tcPr>
            <w:tcW w:w="260" w:type="dxa"/>
            <w:vAlign w:val="bottom"/>
            <w:tcBorders>
              <w:bottom w:val="single" w:sz="8" w:color="CCFFCC"/>
            </w:tcBorders>
            <w:shd w:val="clear" w:color="auto" w:fill="CCFFCC"/>
          </w:tcPr>
          <w:p>
            <w:pPr>
              <w:spacing w:after="0"/>
              <w:rPr>
                <w:sz w:val="21"/>
                <w:szCs w:val="21"/>
                <w:color w:val="auto"/>
              </w:rPr>
            </w:pPr>
          </w:p>
        </w:tc>
        <w:tc>
          <w:tcPr>
            <w:tcW w:w="19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880" w:type="dxa"/>
            <w:vAlign w:val="bottom"/>
            <w:tcBorders>
              <w:bottom w:val="single" w:sz="8" w:color="CCFFCC"/>
            </w:tcBorders>
            <w:shd w:val="clear" w:color="auto" w:fill="CCFFCC"/>
          </w:tcPr>
          <w:p>
            <w:pPr>
              <w:spacing w:after="0"/>
              <w:rPr>
                <w:sz w:val="21"/>
                <w:szCs w:val="21"/>
                <w:color w:val="auto"/>
              </w:rPr>
            </w:pPr>
          </w:p>
        </w:tc>
      </w:tr>
      <w:tr>
        <w:trPr>
          <w:trHeight w:val="237"/>
        </w:trPr>
        <w:tc>
          <w:tcPr>
            <w:tcW w:w="6900" w:type="dxa"/>
            <w:vAlign w:val="bottom"/>
          </w:tcPr>
          <w:p>
            <w:pPr>
              <w:ind w:left="200"/>
              <w:spacing w:after="0"/>
              <w:rPr>
                <w:sz w:val="20"/>
                <w:szCs w:val="20"/>
                <w:color w:val="auto"/>
              </w:rPr>
            </w:pPr>
            <w:r>
              <w:rPr>
                <w:rFonts w:ascii="Arial" w:cs="Arial" w:eastAsia="Arial" w:hAnsi="Arial"/>
                <w:sz w:val="16"/>
                <w:szCs w:val="16"/>
                <w:color w:val="auto"/>
              </w:rPr>
              <w:t>Operating leases</w:t>
            </w:r>
          </w:p>
        </w:tc>
        <w:tc>
          <w:tcPr>
            <w:tcW w:w="2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w:t>
            </w:r>
          </w:p>
        </w:tc>
      </w:tr>
    </w:tbl>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75"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Future minimum lease payments under non-cancellable operating leases (with an initial or remaining lease terms in excess of one year) are as follows (amounts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8"/>
              </w:rPr>
              <w:t>As of March 31, 2020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5"/>
              </w:rPr>
              <w:t>As of December 31, 2019</w:t>
            </w:r>
          </w:p>
        </w:tc>
      </w:tr>
      <w:tr>
        <w:trPr>
          <w:trHeight w:val="223"/>
        </w:trPr>
        <w:tc>
          <w:tcPr>
            <w:tcW w:w="7320" w:type="dxa"/>
            <w:vAlign w:val="bottom"/>
            <w:gridSpan w:val="2"/>
          </w:tcPr>
          <w:p>
            <w:pPr>
              <w:ind w:left="40"/>
              <w:spacing w:after="0"/>
              <w:rPr>
                <w:sz w:val="20"/>
                <w:szCs w:val="20"/>
                <w:color w:val="auto"/>
              </w:rPr>
            </w:pPr>
            <w:r>
              <w:rPr>
                <w:rFonts w:ascii="Arial" w:cs="Arial" w:eastAsia="Arial" w:hAnsi="Arial"/>
                <w:sz w:val="16"/>
                <w:szCs w:val="16"/>
                <w:color w:val="auto"/>
              </w:rPr>
              <w:t>2020 (remaining nine months for March 31, 2020)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5,839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7,787</w:t>
            </w:r>
          </w:p>
        </w:tc>
      </w:tr>
      <w:tr>
        <w:trPr>
          <w:trHeight w:val="33"/>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6,694</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8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6,530</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3,961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3,746</w:t>
            </w:r>
          </w:p>
        </w:tc>
      </w:tr>
      <w:tr>
        <w:trPr>
          <w:trHeight w:val="33"/>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2,108</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8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1,925</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1,334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1,148</w:t>
            </w:r>
          </w:p>
        </w:tc>
      </w:tr>
      <w:tr>
        <w:trPr>
          <w:trHeight w:val="33"/>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3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CCFFCC"/>
            </w:tcBorders>
            <w:shd w:val="clear" w:color="auto" w:fill="CCFFCC"/>
          </w:tcPr>
          <w:p>
            <w:pPr>
              <w:spacing w:after="0"/>
              <w:rPr>
                <w:sz w:val="23"/>
                <w:szCs w:val="23"/>
                <w:color w:val="auto"/>
              </w:rPr>
            </w:pPr>
          </w:p>
        </w:tc>
        <w:tc>
          <w:tcPr>
            <w:tcW w:w="16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1,189</w:t>
            </w:r>
          </w:p>
        </w:tc>
        <w:tc>
          <w:tcPr>
            <w:tcW w:w="10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8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864</w:t>
            </w:r>
          </w:p>
        </w:tc>
      </w:tr>
      <w:tr>
        <w:trPr>
          <w:trHeight w:val="217"/>
        </w:trPr>
        <w:tc>
          <w:tcPr>
            <w:tcW w:w="7320" w:type="dxa"/>
            <w:vAlign w:val="bottom"/>
            <w:gridSpan w:val="2"/>
          </w:tcPr>
          <w:p>
            <w:pPr>
              <w:ind w:left="200"/>
              <w:spacing w:after="0"/>
              <w:rPr>
                <w:sz w:val="20"/>
                <w:szCs w:val="20"/>
                <w:color w:val="auto"/>
              </w:rPr>
            </w:pPr>
            <w:r>
              <w:rPr>
                <w:rFonts w:ascii="Arial" w:cs="Arial" w:eastAsia="Arial" w:hAnsi="Arial"/>
                <w:sz w:val="16"/>
                <w:szCs w:val="16"/>
                <w:color w:val="auto"/>
              </w:rPr>
              <w:t>Total undiscounted lease payments</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21,125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22,000</w:t>
            </w:r>
          </w:p>
        </w:tc>
      </w:tr>
      <w:tr>
        <w:trPr>
          <w:trHeight w:val="33"/>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3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Less: present value adjustment</w:t>
            </w:r>
          </w:p>
        </w:tc>
        <w:tc>
          <w:tcPr>
            <w:tcW w:w="180" w:type="dxa"/>
            <w:vAlign w:val="bottom"/>
            <w:tcBorders>
              <w:bottom w:val="single" w:sz="8" w:color="CCFFCC"/>
            </w:tcBorders>
            <w:shd w:val="clear" w:color="auto" w:fill="CCFFCC"/>
          </w:tcPr>
          <w:p>
            <w:pPr>
              <w:spacing w:after="0"/>
              <w:rPr>
                <w:sz w:val="23"/>
                <w:szCs w:val="23"/>
                <w:color w:val="auto"/>
              </w:rPr>
            </w:pPr>
          </w:p>
        </w:tc>
        <w:tc>
          <w:tcPr>
            <w:tcW w:w="16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(2,313)</w:t>
            </w:r>
          </w:p>
        </w:tc>
        <w:tc>
          <w:tcPr>
            <w:tcW w:w="10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(2,533)</w:t>
            </w:r>
          </w:p>
        </w:tc>
      </w:tr>
      <w:tr>
        <w:trPr>
          <w:trHeight w:val="243"/>
        </w:trPr>
        <w:tc>
          <w:tcPr>
            <w:tcW w:w="7320" w:type="dxa"/>
            <w:vAlign w:val="bottom"/>
            <w:gridSpan w:val="2"/>
          </w:tcPr>
          <w:p>
            <w:pPr>
              <w:ind w:left="200"/>
              <w:spacing w:after="0"/>
              <w:rPr>
                <w:sz w:val="20"/>
                <w:szCs w:val="20"/>
                <w:color w:val="auto"/>
              </w:rPr>
            </w:pPr>
            <w:r>
              <w:rPr>
                <w:rFonts w:ascii="Arial" w:cs="Arial" w:eastAsia="Arial" w:hAnsi="Arial"/>
                <w:sz w:val="16"/>
                <w:szCs w:val="16"/>
                <w:color w:val="auto"/>
              </w:rPr>
              <w:t>Total operating lease liability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18,812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19,467</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2019, the Company's 401(k) policy was changed to a Safe Harbor Plan, whereby the Company matches 100% of the first 3% of eligible compensation and 50% of the next 2% of eligible compensation. Furthermore, the match is immediately vested. Salaries and related expenses include $0.9 million and $1.0 million of employer matching contributions for the three months ended March 31, 2020 and 2019, respectively.</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As of March 31, 2020, the Company has a $1.8 million letter of credit outstanding substantially in favor of a certain landlord for office space. In addition, the Company has a letter of credit totaling $0.1 million as a security deposit for the due performance by the Company of the terms and conditions of a supply contract. There were no draws against these letters of credit during the three months ended March 31, 2020.</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 Income Tax Matters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is in the process of finalizing its sales tax liability analysis for states in which it has economic nexus. It is probable that the Company will be subject to sales tax liabilities plus interest in these states and therefore the estimated tax liability ranges between $2.5 million to $6.3 million with no amount within that range a better estimate than any other amount; accordingly, $2.5 million was accrued as of March 31, 2020.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36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2019, a novel coronavirus disease (“COVID-19”) was first reported. On March 11, 2020, due to worldwide spread of the virus, the World Health Organization characterized COVID-19 as a pandemic. The COVID-19 global pandemic has resulted in a widespread health crisis, and the resulting impact on governments, businesses and individuals and actions taken by them in response to the situation have resulted in widespread economic disruptions, significantly affecting broader economies, financial markets, and overall demand for the Company’s products. The COVID-19 outbreak also has caused increased uncertainty in estimates and assumptions affecting the reported amounts of assets and liabilities, and the disclosure of contingent assets and liabilities in the Company’s Condensed Consolidated Financial Statements as the extent and period of recovery from the COVID-19 outbreak and related economic disruption is difficult to forecast.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75"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extent to which COVID-19 impacts the Company’s business and financial results will depend on numerous evolving factors including, but not limited to, the magnitude and duration of COVID-19, the extent to which it will impact worldwide macroeconomic conditions, the speed of the anticipated recovery, and governmental and business reactions to the pandemic. The Company assessed certain accounting matters that generally require consideration of forecasted financial information in context with the information reasonably available to the Company and the unknown future impacts of COVID-19. The accounting matters assessed included, but were not limited to, the Company’s allowance for credit losses and the carrying value of the goodwill and other long-lived assets. While there was not any significant impact to the Company’s consolidated financial statements as of and</w:t>
      </w:r>
    </w:p>
    <w:p>
      <w:pPr>
        <w:spacing w:after="0" w:line="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the three months ended March 31, 2020, the Company’s future assessment of the magnitude and duration of COVID-19, as well as other factors, could result in material impacts to the Company’s consolidated financial statements in future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2020, there were 200,000,000 shares of common stock authorized, 68,000,209 shares issued, and 65,290,379 shares outstanding. As of December 31, 2019, there were 200,000,000 shares of common stock authorized, 66,543,073 shares issued and 63,833,243 shares outstanding. The par value for common shares is $0.001 per share.</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6, 2019, the Company’s stockholders approved an amendment to the Company’s certificate of incorporation to increase the number of shares of our common stock that the Company is authorized to issue from 100,000,000 to 200,000,000 shares. On November 12, 2019, the Company filed a charter amendment with the State of Delaware to effectuate the increase in the number of shares of the Company’s common stock that the Company is authorized to issue.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2020 and December 31, 2019, there were 5,000,000 shares of preferred stock authorized, and zero shares issued and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par value for preferred shares is $0.001 per share.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From 2012 through 2018, the Company had a stock repurchase program in place pursuant to which the Company was authorized to repurchase shares of its common stock, in the open market or privately negotiated transactions, at times and prices considered appropriate by the Board of Directors depending upon prevailing market conditions and other corporate considerations. The timing and actual number of shares repurchased depended on a variety of factors including the timing of open trading windows, price, corporate and regulatory requirements and other market conditions. The program was discontinued at the end of 2018. The Company may or may not enter into a new stock repurchase program in the future.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Incremental compensation costs arising from subsequent modifications of awards after the grant date must be recognized.</w:t>
      </w:r>
    </w:p>
    <w:p>
      <w:pPr>
        <w:spacing w:after="0" w:line="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forfeiture rate assumptions, which estimate the share-based awards that will ultimately vest, requires judgment, and to the extent actual results or updated estimates differ from our current estimates, such amounts will be recorded as a cumulative adjustment in the period of change and could be materially different from share-based compensation expense recorded in prior periods. Effective January 1, 2020, the Company changed its forfeiture rate estimate which resulted in an increase in stock compensation expense of $2.3 million for the three months ended March 31,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75"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per share weighted average fair value of stock options granted was $8.18 and $9.84 during the three months ended March 31, 2020 and 2019, respectively. The fair value of each option grant is estimated on the date of grant, adjusted for estimated forfeitures, using the Black-Scholes option-pricing model with the following weighted average assumptions: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46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8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22"/>
                <w:szCs w:val="22"/>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778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1680" w:type="dxa"/>
            <w:vAlign w:val="bottom"/>
          </w:tcPr>
          <w:p>
            <w:pPr>
              <w:jc w:val="center"/>
              <w:spacing w:after="0"/>
              <w:rPr>
                <w:sz w:val="20"/>
                <w:szCs w:val="20"/>
                <w:color w:val="auto"/>
              </w:rPr>
            </w:pPr>
            <w:r>
              <w:rPr>
                <w:rFonts w:ascii="Arial" w:cs="Arial" w:eastAsia="Arial" w:hAnsi="Arial"/>
                <w:sz w:val="16"/>
                <w:szCs w:val="16"/>
                <w:color w:val="auto"/>
                <w:w w:val="93"/>
              </w:rPr>
              <w:t>0.0%</w:t>
            </w:r>
          </w:p>
        </w:tc>
        <w:tc>
          <w:tcPr>
            <w:tcW w:w="100" w:type="dxa"/>
            <w:vAlign w:val="bottom"/>
          </w:tcPr>
          <w:p>
            <w:pPr>
              <w:spacing w:after="0"/>
              <w:rPr>
                <w:sz w:val="19"/>
                <w:szCs w:val="19"/>
                <w:color w:val="auto"/>
              </w:rPr>
            </w:pPr>
          </w:p>
        </w:tc>
        <w:tc>
          <w:tcPr>
            <w:tcW w:w="1680" w:type="dxa"/>
            <w:vAlign w:val="bottom"/>
            <w:gridSpan w:val="2"/>
          </w:tcPr>
          <w:p>
            <w:pPr>
              <w:jc w:val="center"/>
              <w:spacing w:after="0"/>
              <w:rPr>
                <w:sz w:val="20"/>
                <w:szCs w:val="20"/>
                <w:color w:val="auto"/>
              </w:rPr>
            </w:pPr>
            <w:r>
              <w:rPr>
                <w:rFonts w:ascii="Arial" w:cs="Arial" w:eastAsia="Arial" w:hAnsi="Arial"/>
                <w:sz w:val="16"/>
                <w:szCs w:val="16"/>
                <w:color w:val="auto"/>
                <w:w w:val="93"/>
              </w:rPr>
              <w:t>0.0%</w:t>
            </w:r>
          </w:p>
        </w:tc>
      </w:tr>
      <w:tr>
        <w:trPr>
          <w:trHeight w:val="33"/>
        </w:trPr>
        <w:tc>
          <w:tcPr>
            <w:tcW w:w="7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Risk-free interest rate</w:t>
            </w:r>
          </w:p>
        </w:tc>
        <w:tc>
          <w:tcPr>
            <w:tcW w:w="16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93"/>
              </w:rPr>
              <w:t>.66%</w:t>
            </w:r>
          </w:p>
        </w:tc>
        <w:tc>
          <w:tcPr>
            <w:tcW w:w="10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2.49%</w:t>
            </w:r>
          </w:p>
        </w:tc>
        <w:tc>
          <w:tcPr>
            <w:tcW w:w="9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- 2.57%</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Expected life (in years)</w:t>
            </w:r>
          </w:p>
        </w:tc>
        <w:tc>
          <w:tcPr>
            <w:tcW w:w="16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jc w:val="center"/>
              <w:ind w:right="699"/>
              <w:spacing w:after="0"/>
              <w:rPr>
                <w:sz w:val="20"/>
                <w:szCs w:val="20"/>
                <w:color w:val="auto"/>
              </w:rPr>
            </w:pPr>
            <w:r>
              <w:rPr>
                <w:rFonts w:ascii="Arial" w:cs="Arial" w:eastAsia="Arial" w:hAnsi="Arial"/>
                <w:sz w:val="16"/>
                <w:szCs w:val="16"/>
                <w:color w:val="auto"/>
                <w:w w:val="89"/>
              </w:rPr>
              <w:t>5</w:t>
            </w:r>
          </w:p>
        </w:tc>
      </w:tr>
      <w:tr>
        <w:trPr>
          <w:trHeight w:val="33"/>
        </w:trPr>
        <w:tc>
          <w:tcPr>
            <w:tcW w:w="7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7780" w:type="dxa"/>
            <w:vAlign w:val="bottom"/>
            <w:shd w:val="clear" w:color="auto" w:fill="CCFFCC"/>
          </w:tcPr>
          <w:p>
            <w:pPr>
              <w:ind w:left="40"/>
              <w:spacing w:after="0"/>
              <w:rPr>
                <w:sz w:val="20"/>
                <w:szCs w:val="20"/>
                <w:color w:val="auto"/>
              </w:rPr>
            </w:pPr>
            <w:r>
              <w:rPr>
                <w:rFonts w:ascii="Arial" w:cs="Arial" w:eastAsia="Arial" w:hAnsi="Arial"/>
                <w:sz w:val="16"/>
                <w:szCs w:val="16"/>
                <w:color w:val="auto"/>
              </w:rPr>
              <w:t>Historical volatility</w:t>
            </w:r>
          </w:p>
        </w:tc>
        <w:tc>
          <w:tcPr>
            <w:tcW w:w="168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shd w:val="clear" w:color="auto" w:fill="CCFFCC"/>
          </w:tcPr>
          <w:p>
            <w:pPr>
              <w:spacing w:after="0"/>
              <w:rPr>
                <w:sz w:val="20"/>
                <w:szCs w:val="20"/>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43.62%</w:t>
            </w:r>
          </w:p>
        </w:tc>
        <w:tc>
          <w:tcPr>
            <w:tcW w:w="900" w:type="dxa"/>
            <w:vAlign w:val="bottom"/>
            <w:shd w:val="clear" w:color="auto" w:fill="CCFFCC"/>
          </w:tcPr>
          <w:p>
            <w:pPr>
              <w:ind w:left="40"/>
              <w:spacing w:after="0"/>
              <w:rPr>
                <w:sz w:val="20"/>
                <w:szCs w:val="20"/>
                <w:color w:val="auto"/>
              </w:rPr>
            </w:pPr>
            <w:r>
              <w:rPr>
                <w:rFonts w:ascii="Arial" w:cs="Arial" w:eastAsia="Arial" w:hAnsi="Arial"/>
                <w:sz w:val="16"/>
                <w:szCs w:val="16"/>
                <w:color w:val="auto"/>
              </w:rPr>
              <w:t>- 43.85%</w:t>
            </w:r>
          </w:p>
        </w:tc>
      </w:tr>
      <w:tr>
        <w:trPr>
          <w:trHeight w:val="33"/>
        </w:trPr>
        <w:tc>
          <w:tcPr>
            <w:tcW w:w="7780" w:type="dxa"/>
            <w:vAlign w:val="bottom"/>
            <w:shd w:val="clear" w:color="auto" w:fill="CCFFCC"/>
          </w:tcPr>
          <w:p>
            <w:pPr>
              <w:spacing w:after="0"/>
              <w:rPr>
                <w:sz w:val="2"/>
                <w:szCs w:val="2"/>
                <w:color w:val="auto"/>
              </w:rPr>
            </w:pPr>
          </w:p>
        </w:tc>
        <w:tc>
          <w:tcPr>
            <w:tcW w:w="1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description of the methods used in the significant assumptions used to estimate the fair value of stock-based compensation awards follows: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1998, the Company established the Stock Option and Restricted Stock Purchase Plan (the “1998 Plan”). Under the 1998 Plan, the Board of Directors could issue incentive stock options or nonqualified stock options or other equity-based awards in respect of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2000 Plan by approximately 4,150,000, thereby reserving for issuance 10,000,000 shares of common stock in the aggregate.</w:t>
      </w:r>
    </w:p>
    <w:p>
      <w:pPr>
        <w:spacing w:after="0" w:line="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established the 2009 Stock Incentive Plan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Plan (the “Amended 2009 Plan”) effective June 7, 2012. The Amended 2009 Plan increased the number of shares authorized for issuance under the plan by an additional 4,250,000. On June 2, 2017, the Company's Board of Directors amended and restated the Amended 2009 Plan effective April 30, 2017. The amended and restated plan increased the number of shares authorized for issuance under the plan by an additional 4,000,000.</w:t>
      </w:r>
    </w:p>
    <w:p>
      <w:pPr>
        <w:spacing w:after="0" w:line="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April 11, 2019, the Company's Board of Directors adopted, and on June 6, 2019, the Company's stockholders approved, the 2019 Stock Incentive Plan ("2019 Stock Incentive Plan") to replace the Amended 2009 Plan, which was set to expire under its terms on June 9, 2019. Under the 2019 Stock Incentive Plan, the number of shares underlying options and other equity awards which remain outstanding, as well as the number of shares that remained available for grant, under the Amended 2009 Plan and under the Amended 2000 Plan were incorporated, as of June 6, 2019, into the 2019 Stock Incentive Plan. In addition, under the 2019 Stock Incentive Plan, 4,250,000 new shares were authorized for issuance. The number of shares authorized for issuance under the 2019 Stock Incentive Plan, the Amended 2009 Plan, and the 2000 Plan is 32,067,744 shares in the aggregate. Options to acquire common stock granted thereunder have 10-year terms. As of March 31, 2020, approximately 1.3 million shares of common stock remained available for issuance under the 2019 Stock Incentive Plan (taking into account all option exercises and other equity award settlements through March 31, 2020).</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June 2010, the Company’s stockholders approved the 2010 Employee Stock Purchase Plan with 1,000,000 shares of common stock initially reserved for issuance. Subject to stockholder approval, which was obtained on June 2, 2017, the Company's Board of Directors amended and restated the 2010 Employee Stock Purchase Plan effective April 30, 2017. The amended and restated plan increased the number of shares authorized for issuance under the plan by an additional 1,000,000, thereby reserving for issuance 2,000,000 shares of common stock in the aggregate.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75"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11, 2019, the Company's Board of Directors adopted, and on June 6, 2019, the Company's stockholders approved, the 2019 Employee Stock Purchase Plan (the "2019 Employee Stock Purchase Plan") to replace the Amended and Restated 2010 Employee Stock Purchase Plan which was set to expire under its terms in June 2020. There are 1,000,000 shares authorized and reserved for issuance under the 2019 Employee Stock Purchase Plan. As of March 31, 2020, approximately 0.9 million shares of common stock remain available for issuance under the 2019 Employee Stock Purchase Plan (taking into account all share purchases through March 31,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Plan</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During January 2018, the Company established the Inducement Plan (the “2018 Plan”). Under the 2018 Plan, the Board of Directors can issue nonqualified stock options or other equity-based awards in respect of up to 1,500,000 shares of common stock. On April 25, 2018, the Company's Board of Directors amended and restated the 2018 Plan (the "Amended 2018 Plan"). The Amended 2018 Plan increased the number of shares authorized for issuance under the plan by an additional 500,000 shares, and subsequently the Board of Directors has approved and ratified, effective as of July 31, 2018, October 29, 2018 and February 13, 2019, increases of the number of shares authorized for issuance under the Amended 2018 Plan by 500,000, 250,000 and 618,048 shares, respectively, constituting 3,368,048 shares of common stock in the aggregate being reserved for issuance pursuant to grants under the Amended 2018 Plan. As of March 31, 2020, approximately 1.0 million shares of common stock remained available for issuance under the Amended 2018 Plan (taking into account all option exercises and other equity award settlements through March 31, 2020).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3160" w:type="dxa"/>
            <w:vAlign w:val="bottom"/>
            <w:gridSpan w:val="5"/>
          </w:tcPr>
          <w:p>
            <w:pPr>
              <w:ind w:left="780"/>
              <w:spacing w:after="0"/>
              <w:rPr>
                <w:sz w:val="20"/>
                <w:szCs w:val="20"/>
                <w:color w:val="auto"/>
              </w:rPr>
            </w:pPr>
            <w:r>
              <w:rPr>
                <w:rFonts w:ascii="Arial" w:cs="Arial" w:eastAsia="Arial" w:hAnsi="Arial"/>
                <w:sz w:val="16"/>
                <w:szCs w:val="16"/>
                <w:b w:val="1"/>
                <w:bCs w:val="1"/>
                <w:color w:val="auto"/>
              </w:rPr>
              <w:t>Stock Option Activity</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1580" w:type="dxa"/>
            <w:vAlign w:val="bottom"/>
            <w:gridSpan w:val="2"/>
          </w:tcPr>
          <w:p>
            <w:pPr>
              <w:ind w:left="340"/>
              <w:spacing w:after="0"/>
              <w:rPr>
                <w:sz w:val="20"/>
                <w:szCs w:val="20"/>
                <w:color w:val="auto"/>
              </w:rPr>
            </w:pPr>
            <w:r>
              <w:rPr>
                <w:rFonts w:ascii="Arial" w:cs="Arial" w:eastAsia="Arial" w:hAnsi="Arial"/>
                <w:sz w:val="16"/>
                <w:szCs w:val="16"/>
                <w:b w:val="1"/>
                <w:bCs w:val="1"/>
                <w:color w:val="auto"/>
              </w:rPr>
              <w:t>Options (in</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Value (in</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1580" w:type="dxa"/>
            <w:vAlign w:val="bottom"/>
            <w:gridSpan w:val="2"/>
          </w:tcPr>
          <w:p>
            <w:pPr>
              <w:ind w:left="360"/>
              <w:spacing w:after="0"/>
              <w:rPr>
                <w:sz w:val="20"/>
                <w:szCs w:val="20"/>
                <w:color w:val="auto"/>
              </w:rPr>
            </w:pPr>
            <w:r>
              <w:rPr>
                <w:rFonts w:ascii="Arial" w:cs="Arial" w:eastAsia="Arial" w:hAnsi="Arial"/>
                <w:sz w:val="16"/>
                <w:szCs w:val="16"/>
                <w:b w:val="1"/>
                <w:bCs w:val="1"/>
                <w:color w:val="auto"/>
              </w:rPr>
              <w:t>thousands)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240" w:type="dxa"/>
            <w:vAlign w:val="bottom"/>
          </w:tcPr>
          <w:p>
            <w:pPr>
              <w:spacing w:after="0"/>
              <w:rPr>
                <w:sz w:val="18"/>
                <w:szCs w:val="18"/>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33"/>
        </w:trPr>
        <w:tc>
          <w:tcPr>
            <w:tcW w:w="5060" w:type="dxa"/>
            <w:vAlign w:val="bottom"/>
            <w:tcBorders>
              <w:bottom w:val="single" w:sz="8" w:color="CCFFCC"/>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2019</w:t>
            </w:r>
          </w:p>
        </w:tc>
        <w:tc>
          <w:tcPr>
            <w:tcW w:w="14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5,799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16.57</w:t>
            </w:r>
          </w:p>
        </w:tc>
        <w:tc>
          <w:tcPr>
            <w:tcW w:w="120" w:type="dxa"/>
            <w:vAlign w:val="bottom"/>
            <w:tcBorders>
              <w:bottom w:val="single" w:sz="8" w:color="CCFFCC"/>
            </w:tcBorders>
            <w:shd w:val="clear" w:color="auto" w:fill="CCFFCC"/>
          </w:tcPr>
          <w:p>
            <w:pPr>
              <w:spacing w:after="0"/>
              <w:rPr>
                <w:sz w:val="21"/>
                <w:szCs w:val="21"/>
                <w:color w:val="auto"/>
              </w:rPr>
            </w:pPr>
          </w:p>
        </w:tc>
        <w:tc>
          <w:tcPr>
            <w:tcW w:w="14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119,064</w:t>
            </w:r>
          </w:p>
        </w:tc>
        <w:tc>
          <w:tcPr>
            <w:tcW w:w="0" w:type="dxa"/>
            <w:vAlign w:val="bottom"/>
          </w:tcPr>
          <w:p>
            <w:pPr>
              <w:spacing w:after="0"/>
              <w:rPr>
                <w:sz w:val="1"/>
                <w:szCs w:val="1"/>
                <w:color w:val="auto"/>
              </w:rPr>
            </w:pPr>
          </w:p>
        </w:tc>
      </w:tr>
      <w:tr>
        <w:trPr>
          <w:trHeight w:val="237"/>
        </w:trPr>
        <w:tc>
          <w:tcPr>
            <w:tcW w:w="5060" w:type="dxa"/>
            <w:vAlign w:val="bottom"/>
          </w:tcPr>
          <w:p>
            <w:pPr>
              <w:ind w:left="18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Exercised</w:t>
            </w:r>
          </w:p>
        </w:tc>
        <w:tc>
          <w:tcPr>
            <w:tcW w:w="14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9.81</w:t>
            </w:r>
          </w:p>
        </w:tc>
        <w:tc>
          <w:tcPr>
            <w:tcW w:w="120" w:type="dxa"/>
            <w:vAlign w:val="bottom"/>
            <w:tcBorders>
              <w:bottom w:val="single" w:sz="8" w:color="CCFFCC"/>
            </w:tcBorders>
            <w:shd w:val="clear" w:color="auto" w:fill="CCFFCC"/>
          </w:tcPr>
          <w:p>
            <w:pPr>
              <w:spacing w:after="0"/>
              <w:rPr>
                <w:sz w:val="21"/>
                <w:szCs w:val="21"/>
                <w:color w:val="auto"/>
              </w:rPr>
            </w:pPr>
          </w:p>
        </w:tc>
        <w:tc>
          <w:tcPr>
            <w:tcW w:w="14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180"/>
              <w:spacing w:after="0"/>
              <w:rPr>
                <w:sz w:val="20"/>
                <w:szCs w:val="20"/>
                <w:color w:val="auto"/>
              </w:rPr>
            </w:pPr>
            <w:r>
              <w:rPr>
                <w:rFonts w:ascii="Arial" w:cs="Arial" w:eastAsia="Arial" w:hAnsi="Arial"/>
                <w:sz w:val="16"/>
                <w:szCs w:val="16"/>
                <w:color w:val="auto"/>
              </w:rPr>
              <w:t>Cancelled or expired</w:t>
            </w:r>
          </w:p>
        </w:tc>
        <w:tc>
          <w:tcPr>
            <w:tcW w:w="146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22.39</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60" w:type="dxa"/>
            <w:vAlign w:val="bottom"/>
            <w:tcBorders>
              <w:bottom w:val="single" w:sz="8" w:color="CCFFCC"/>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4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March 31, 2020</w:t>
            </w:r>
          </w:p>
        </w:tc>
        <w:tc>
          <w:tcPr>
            <w:tcW w:w="14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5,492</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16.69</w:t>
            </w:r>
          </w:p>
        </w:tc>
        <w:tc>
          <w:tcPr>
            <w:tcW w:w="120" w:type="dxa"/>
            <w:vAlign w:val="bottom"/>
            <w:tcBorders>
              <w:bottom w:val="single" w:sz="8" w:color="CCFFCC"/>
            </w:tcBorders>
            <w:shd w:val="clear" w:color="auto" w:fill="CCFFCC"/>
          </w:tcPr>
          <w:p>
            <w:pPr>
              <w:spacing w:after="0"/>
              <w:rPr>
                <w:sz w:val="21"/>
                <w:szCs w:val="21"/>
                <w:color w:val="auto"/>
              </w:rPr>
            </w:pP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41,492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Options vested and expected to vest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4,780</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16.13</w:t>
            </w:r>
          </w:p>
        </w:tc>
        <w:tc>
          <w:tcPr>
            <w:tcW w:w="120" w:type="dxa"/>
            <w:vAlign w:val="bottom"/>
            <w:tcBorders>
              <w:bottom w:val="single" w:sz="8" w:color="CCFFCC"/>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36,574</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Options exercisable at March 31, 2020</w:t>
            </w:r>
          </w:p>
        </w:tc>
        <w:tc>
          <w:tcPr>
            <w:tcW w:w="14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2,939</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12.36</w:t>
            </w:r>
          </w:p>
        </w:tc>
        <w:tc>
          <w:tcPr>
            <w:tcW w:w="120" w:type="dxa"/>
            <w:vAlign w:val="bottom"/>
            <w:tcBorders>
              <w:bottom w:val="single" w:sz="8" w:color="CCFFCC"/>
            </w:tcBorders>
            <w:shd w:val="clear" w:color="auto" w:fill="CCFFCC"/>
          </w:tcPr>
          <w:p>
            <w:pPr>
              <w:spacing w:after="0"/>
              <w:rPr>
                <w:sz w:val="20"/>
                <w:szCs w:val="20"/>
                <w:color w:val="auto"/>
              </w:rPr>
            </w:pP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29,258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total fair value of stock options exercised during the three months ended March 31, 2020 was approximately $0.9 million. As of March 31, 2020, there was approximately $18.1 million of total unrecognized compensation cost related to nonvested share-based compensation arrangements. That cost is expected to be recognized over a weighted average period of approximately 2.7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3600" w:type="dxa"/>
            <w:vAlign w:val="bottom"/>
            <w:gridSpan w:val="5"/>
          </w:tcPr>
          <w:p>
            <w:pPr>
              <w:ind w:left="720"/>
              <w:spacing w:after="0"/>
              <w:rPr>
                <w:sz w:val="20"/>
                <w:szCs w:val="20"/>
                <w:color w:val="auto"/>
              </w:rPr>
            </w:pPr>
            <w:r>
              <w:rPr>
                <w:rFonts w:ascii="Arial" w:cs="Arial" w:eastAsia="Arial" w:hAnsi="Arial"/>
                <w:sz w:val="16"/>
                <w:szCs w:val="16"/>
                <w:b w:val="1"/>
                <w:bCs w:val="1"/>
                <w:color w:val="auto"/>
              </w:rPr>
              <w:t>Restricted Stock Unit Activity</w:t>
            </w: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9"/>
        </w:trPr>
        <w:tc>
          <w:tcPr>
            <w:tcW w:w="5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Weighted Average</w:t>
            </w: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3"/>
        </w:trPr>
        <w:tc>
          <w:tcPr>
            <w:tcW w:w="572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Number of Shares (in</w:t>
            </w:r>
          </w:p>
        </w:tc>
        <w:tc>
          <w:tcPr>
            <w:tcW w:w="17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Grant Date Fair Value</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Aggregate Fair Value (in</w:t>
            </w:r>
          </w:p>
        </w:tc>
      </w:tr>
      <w:tr>
        <w:trPr>
          <w:trHeight w:val="210"/>
        </w:trPr>
        <w:tc>
          <w:tcPr>
            <w:tcW w:w="572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thousands)</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 Share)</w:t>
            </w:r>
          </w:p>
        </w:tc>
        <w:tc>
          <w:tcPr>
            <w:tcW w:w="340" w:type="dxa"/>
            <w:vAlign w:val="bottom"/>
          </w:tcPr>
          <w:p>
            <w:pPr>
              <w:spacing w:after="0"/>
              <w:rPr>
                <w:sz w:val="18"/>
                <w:szCs w:val="18"/>
                <w:color w:val="auto"/>
              </w:rPr>
            </w:pPr>
          </w:p>
        </w:tc>
        <w:tc>
          <w:tcPr>
            <w:tcW w:w="1540" w:type="dxa"/>
            <w:vAlign w:val="bottom"/>
          </w:tcPr>
          <w:p>
            <w:pPr>
              <w:jc w:val="right"/>
              <w:ind w:right="47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720" w:type="dxa"/>
            <w:vAlign w:val="bottom"/>
            <w:tcBorders>
              <w:bottom w:val="single" w:sz="8" w:color="CCFFCC"/>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outstanding at December 31, 2019</w:t>
            </w:r>
          </w:p>
        </w:tc>
        <w:tc>
          <w:tcPr>
            <w:tcW w:w="17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3,049</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24.73</w:t>
            </w:r>
          </w:p>
        </w:tc>
        <w:tc>
          <w:tcPr>
            <w:tcW w:w="12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CCFFCC"/>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112,848</w:t>
            </w:r>
          </w:p>
        </w:tc>
      </w:tr>
      <w:tr>
        <w:trPr>
          <w:trHeight w:val="237"/>
        </w:trPr>
        <w:tc>
          <w:tcPr>
            <w:tcW w:w="5720" w:type="dxa"/>
            <w:vAlign w:val="bottom"/>
          </w:tcPr>
          <w:p>
            <w:pPr>
              <w:ind w:left="160"/>
              <w:spacing w:after="0"/>
              <w:rPr>
                <w:sz w:val="20"/>
                <w:szCs w:val="20"/>
                <w:color w:val="auto"/>
              </w:rPr>
            </w:pPr>
            <w:r>
              <w:rPr>
                <w:rFonts w:ascii="Arial" w:cs="Arial" w:eastAsia="Arial" w:hAnsi="Arial"/>
                <w:sz w:val="16"/>
                <w:szCs w:val="16"/>
                <w:color w:val="auto"/>
              </w:rPr>
              <w:t>Awarded</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1,913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5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2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Vested</w:t>
            </w:r>
          </w:p>
        </w:tc>
        <w:tc>
          <w:tcPr>
            <w:tcW w:w="1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(1,208)</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540" w:type="dxa"/>
            <w:vAlign w:val="bottom"/>
            <w:tcBorders>
              <w:bottom w:val="single" w:sz="8" w:color="CCFFCC"/>
            </w:tcBorders>
            <w:shd w:val="clear" w:color="auto" w:fill="CCFFCC"/>
          </w:tcPr>
          <w:p>
            <w:pPr>
              <w:spacing w:after="0"/>
              <w:rPr>
                <w:sz w:val="21"/>
                <w:szCs w:val="21"/>
                <w:color w:val="auto"/>
              </w:rPr>
            </w:pPr>
          </w:p>
        </w:tc>
      </w:tr>
      <w:tr>
        <w:trPr>
          <w:trHeight w:val="237"/>
        </w:trPr>
        <w:tc>
          <w:tcPr>
            <w:tcW w:w="572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170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5720" w:type="dxa"/>
            <w:vAlign w:val="bottom"/>
            <w:tcBorders>
              <w:bottom w:val="single" w:sz="8" w:color="CCFFCC"/>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1540" w:type="dxa"/>
            <w:vAlign w:val="bottom"/>
            <w:tcBorders>
              <w:bottom w:val="single" w:sz="8" w:color="CCFFCC"/>
            </w:tcBorders>
          </w:tcPr>
          <w:p>
            <w:pPr>
              <w:spacing w:after="0"/>
              <w:rPr>
                <w:sz w:val="2"/>
                <w:szCs w:val="2"/>
                <w:color w:val="auto"/>
              </w:rPr>
            </w:pPr>
          </w:p>
        </w:tc>
      </w:tr>
      <w:tr>
        <w:trPr>
          <w:trHeight w:val="244"/>
        </w:trPr>
        <w:tc>
          <w:tcPr>
            <w:tcW w:w="57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Non-vested and outstanding at March 31, 2020</w:t>
            </w:r>
          </w:p>
        </w:tc>
        <w:tc>
          <w:tcPr>
            <w:tcW w:w="17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3,636</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24.72</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82,726</w:t>
            </w:r>
          </w:p>
        </w:tc>
      </w:tr>
      <w:tr>
        <w:trPr>
          <w:trHeight w:val="20"/>
        </w:trPr>
        <w:tc>
          <w:tcPr>
            <w:tcW w:w="5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6"/>
                <w:szCs w:val="16"/>
                <w:color w:val="auto"/>
              </w:rPr>
              <w:t>Expected to vest</w:t>
            </w:r>
          </w:p>
        </w:tc>
        <w:tc>
          <w:tcPr>
            <w:tcW w:w="1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24.08</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42,211</w:t>
            </w:r>
          </w:p>
        </w:tc>
      </w:tr>
      <w:tr>
        <w:trPr>
          <w:trHeight w:val="20"/>
        </w:trPr>
        <w:tc>
          <w:tcPr>
            <w:tcW w:w="5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RSUs granted to employees generally vest over a three to four-year period or upon achievement of certain performance conditions. In accordance with ASU 2017-09, as of March 31, 2020, total unrecognized compensation cost, adjusted for estimated</w:t>
      </w:r>
    </w:p>
    <w:p>
      <w:pPr>
        <w:sectPr>
          <w:pgSz w:w="11900" w:h="16838" w:orient="portrait"/>
          <w:cols w:equalWidth="0" w:num="1">
            <w:col w:w="11240"/>
          </w:cols>
          <w:pgMar w:left="320" w:top="175"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75"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forfeitures, related to nonvested RSUs was approximately $79.7 million and the weighted-average remaining vesting period was 3.2 years.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2020 and the comparable period of 2019, the Company accrued approximately $3.7 million and $1.9 million in cash awards, respectively, to be settled in shares of the Company's stock and recorded a corresponding expense, which is included as a component of stock-based compensation expense in the accompanying condensed consolidated statement of operations for the three months ended March 31, 2020 and 2019, respectively.</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Stock-based compensation expense recognized in the Company’s condensed consolidated statements of operations and cash flows was $14.7 million and $7.2 million for the three months ended March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7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13. Restructuring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restructuring related to costs associated with re-prioritizing and reallocating resources to focus on areas showing high growth potential. The expense associated with this restructuring was approximately $3.2 million and $0.3 million during the three months ended March 31, 2020 and 2019, respectively. The Company expects to incur additional restructuring costs through December 31, 2020. The restructuring liability was approximately $0.3 million as of March 31, 2020 and December 31, 2019. It is classified as accrued expenses and other current liabilities on the condensed consolidated balance sheets.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detail of the liability for the Company's restructuring charges for the periods presented (amounts in thousands):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gridSpan w:val="2"/>
          </w:tcPr>
          <w:p>
            <w:pPr>
              <w:ind w:left="200"/>
              <w:spacing w:after="0"/>
              <w:rPr>
                <w:sz w:val="20"/>
                <w:szCs w:val="20"/>
                <w:color w:val="auto"/>
              </w:rPr>
            </w:pPr>
            <w:r>
              <w:rPr>
                <w:rFonts w:ascii="Arial" w:cs="Arial" w:eastAsia="Arial" w:hAnsi="Arial"/>
                <w:sz w:val="14"/>
                <w:szCs w:val="14"/>
                <w:b w:val="1"/>
                <w:bCs w:val="1"/>
                <w:color w:val="auto"/>
              </w:rPr>
              <w:t>As of March 31, 2020</w:t>
            </w:r>
          </w:p>
        </w:tc>
        <w:tc>
          <w:tcPr>
            <w:tcW w:w="320" w:type="dxa"/>
            <w:vAlign w:val="bottom"/>
          </w:tcPr>
          <w:p>
            <w:pPr>
              <w:spacing w:after="0"/>
              <w:rPr>
                <w:sz w:val="16"/>
                <w:szCs w:val="16"/>
                <w:color w:val="auto"/>
              </w:rPr>
            </w:pPr>
          </w:p>
        </w:tc>
        <w:tc>
          <w:tcPr>
            <w:tcW w:w="1900" w:type="dxa"/>
            <w:vAlign w:val="bottom"/>
          </w:tcPr>
          <w:p>
            <w:pPr>
              <w:jc w:val="right"/>
              <w:ind w:right="441"/>
              <w:spacing w:after="0"/>
              <w:rPr>
                <w:sz w:val="20"/>
                <w:szCs w:val="20"/>
                <w:color w:val="auto"/>
              </w:rPr>
            </w:pPr>
            <w:r>
              <w:rPr>
                <w:rFonts w:ascii="Arial" w:cs="Arial" w:eastAsia="Arial" w:hAnsi="Arial"/>
                <w:sz w:val="14"/>
                <w:szCs w:val="14"/>
                <w:b w:val="1"/>
                <w:bCs w:val="1"/>
                <w:color w:val="auto"/>
              </w:rPr>
              <w:t>December 31, 2019</w:t>
            </w:r>
          </w:p>
        </w:tc>
      </w:tr>
      <w:tr>
        <w:trPr>
          <w:trHeight w:val="236"/>
        </w:trPr>
        <w:tc>
          <w:tcPr>
            <w:tcW w:w="662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Beginning of the year</w:t>
            </w:r>
          </w:p>
        </w:tc>
        <w:tc>
          <w:tcPr>
            <w:tcW w:w="280" w:type="dxa"/>
            <w:vAlign w:val="bottom"/>
            <w:tcBorders>
              <w:top w:val="single" w:sz="8" w:color="auto"/>
              <w:bottom w:val="single" w:sz="8" w:color="CCFFCC"/>
            </w:tcBorders>
            <w:shd w:val="clear" w:color="auto" w:fill="CCFFCC"/>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314</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320" w:type="dxa"/>
            <w:vAlign w:val="bottom"/>
            <w:tcBorders>
              <w:top w:val="single" w:sz="8" w:color="auto"/>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977</w:t>
            </w:r>
          </w:p>
        </w:tc>
      </w:tr>
      <w:tr>
        <w:trPr>
          <w:trHeight w:val="237"/>
        </w:trPr>
        <w:tc>
          <w:tcPr>
            <w:tcW w:w="6620" w:type="dxa"/>
            <w:vAlign w:val="bottom"/>
          </w:tcPr>
          <w:p>
            <w:pPr>
              <w:ind w:left="280"/>
              <w:spacing w:after="0"/>
              <w:rPr>
                <w:sz w:val="20"/>
                <w:szCs w:val="20"/>
                <w:color w:val="auto"/>
              </w:rPr>
            </w:pPr>
            <w:r>
              <w:rPr>
                <w:rFonts w:ascii="Arial" w:cs="Arial" w:eastAsia="Arial" w:hAnsi="Arial"/>
                <w:sz w:val="16"/>
                <w:szCs w:val="16"/>
                <w:color w:val="auto"/>
              </w:rPr>
              <w:t>Severance and other associated costs</w:t>
            </w:r>
          </w:p>
        </w:tc>
        <w:tc>
          <w:tcPr>
            <w:tcW w:w="280" w:type="dxa"/>
            <w:vAlign w:val="bottom"/>
          </w:tcPr>
          <w:p>
            <w:pPr>
              <w:spacing w:after="0"/>
              <w:rPr>
                <w:sz w:val="20"/>
                <w:szCs w:val="20"/>
                <w:color w:val="auto"/>
              </w:rPr>
            </w:pPr>
          </w:p>
        </w:tc>
        <w:tc>
          <w:tcPr>
            <w:tcW w:w="1980" w:type="dxa"/>
            <w:vAlign w:val="bottom"/>
          </w:tcPr>
          <w:p>
            <w:pPr>
              <w:jc w:val="right"/>
              <w:ind w:right="41"/>
              <w:spacing w:after="0"/>
              <w:rPr>
                <w:sz w:val="20"/>
                <w:szCs w:val="20"/>
                <w:color w:val="auto"/>
              </w:rPr>
            </w:pPr>
            <w:r>
              <w:rPr>
                <w:rFonts w:ascii="Arial" w:cs="Arial" w:eastAsia="Arial" w:hAnsi="Arial"/>
                <w:sz w:val="16"/>
                <w:szCs w:val="16"/>
                <w:color w:val="auto"/>
              </w:rPr>
              <w:t>3,190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jc w:val="right"/>
              <w:ind w:right="21"/>
              <w:spacing w:after="0"/>
              <w:rPr>
                <w:sz w:val="20"/>
                <w:szCs w:val="20"/>
                <w:color w:val="auto"/>
              </w:rPr>
            </w:pPr>
            <w:r>
              <w:rPr>
                <w:rFonts w:ascii="Arial" w:cs="Arial" w:eastAsia="Arial" w:hAnsi="Arial"/>
                <w:sz w:val="16"/>
                <w:szCs w:val="16"/>
                <w:color w:val="auto"/>
              </w:rPr>
              <w:t>2,043</w:t>
            </w:r>
          </w:p>
        </w:tc>
      </w:tr>
      <w:tr>
        <w:trPr>
          <w:trHeight w:val="33"/>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6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Cash payments</w:t>
            </w:r>
          </w:p>
        </w:tc>
        <w:tc>
          <w:tcPr>
            <w:tcW w:w="280" w:type="dxa"/>
            <w:vAlign w:val="bottom"/>
            <w:tcBorders>
              <w:bottom w:val="single" w:sz="8" w:color="CCFFCC"/>
            </w:tcBorders>
            <w:shd w:val="clear" w:color="auto" w:fill="CCFFCC"/>
          </w:tcPr>
          <w:p>
            <w:pPr>
              <w:spacing w:after="0"/>
              <w:rPr>
                <w:sz w:val="23"/>
                <w:szCs w:val="23"/>
                <w:color w:val="auto"/>
              </w:rPr>
            </w:pPr>
          </w:p>
        </w:tc>
        <w:tc>
          <w:tcPr>
            <w:tcW w:w="1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(3,228)</w:t>
            </w:r>
          </w:p>
        </w:tc>
        <w:tc>
          <w:tcPr>
            <w:tcW w:w="100" w:type="dxa"/>
            <w:vAlign w:val="bottom"/>
            <w:tcBorders>
              <w:bottom w:val="single" w:sz="8" w:color="CCFFCC"/>
            </w:tcBorders>
            <w:shd w:val="clear" w:color="auto" w:fill="CCFFCC"/>
          </w:tcPr>
          <w:p>
            <w:pPr>
              <w:spacing w:after="0"/>
              <w:rPr>
                <w:sz w:val="23"/>
                <w:szCs w:val="23"/>
                <w:color w:val="auto"/>
              </w:rPr>
            </w:pPr>
          </w:p>
        </w:tc>
        <w:tc>
          <w:tcPr>
            <w:tcW w:w="320" w:type="dxa"/>
            <w:vAlign w:val="bottom"/>
            <w:tcBorders>
              <w:bottom w:val="single" w:sz="8" w:color="CCFFCC"/>
            </w:tcBorders>
            <w:shd w:val="clear" w:color="auto" w:fill="CCFFCC"/>
          </w:tcPr>
          <w:p>
            <w:pPr>
              <w:spacing w:after="0"/>
              <w:rPr>
                <w:sz w:val="23"/>
                <w:szCs w:val="23"/>
                <w:color w:val="auto"/>
              </w:rPr>
            </w:pPr>
          </w:p>
        </w:tc>
        <w:tc>
          <w:tcPr>
            <w:tcW w:w="1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(2,706)</w:t>
            </w:r>
          </w:p>
        </w:tc>
      </w:tr>
      <w:tr>
        <w:trPr>
          <w:trHeight w:val="243"/>
        </w:trPr>
        <w:tc>
          <w:tcPr>
            <w:tcW w:w="662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314</w:t>
            </w:r>
          </w:p>
        </w:tc>
      </w:tr>
      <w:tr>
        <w:trPr>
          <w:trHeight w:val="20"/>
        </w:trPr>
        <w:tc>
          <w:tcPr>
            <w:tcW w:w="6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presents the detail of expenses for the Company's restructuring charges for the three months ended March 31, 2020 (amounts in thousands):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1260" w:type="dxa"/>
            <w:vAlign w:val="bottom"/>
            <w:tcBorders>
              <w:bottom w:val="single" w:sz="8" w:color="auto"/>
            </w:tcBorders>
          </w:tcPr>
          <w:p>
            <w:pPr>
              <w:spacing w:after="0"/>
              <w:rPr>
                <w:sz w:val="16"/>
                <w:szCs w:val="16"/>
                <w:color w:val="auto"/>
              </w:rPr>
            </w:pPr>
          </w:p>
        </w:tc>
      </w:tr>
      <w:tr>
        <w:trPr>
          <w:trHeight w:val="263"/>
        </w:trPr>
        <w:tc>
          <w:tcPr>
            <w:tcW w:w="66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6620" w:type="dxa"/>
            <w:vAlign w:val="bottom"/>
          </w:tcPr>
          <w:p>
            <w:pPr>
              <w:ind w:left="20"/>
              <w:spacing w:after="0"/>
              <w:rPr>
                <w:sz w:val="20"/>
                <w:szCs w:val="20"/>
                <w:color w:val="auto"/>
              </w:rPr>
            </w:pPr>
            <w:r>
              <w:rPr>
                <w:rFonts w:ascii="Arial" w:cs="Arial" w:eastAsia="Arial" w:hAnsi="Arial"/>
                <w:sz w:val="16"/>
                <w:szCs w:val="16"/>
                <w:color w:val="auto"/>
              </w:rPr>
              <w:t>Severance and other associated costs</w:t>
            </w:r>
          </w:p>
        </w:tc>
        <w:tc>
          <w:tcPr>
            <w:tcW w:w="1300" w:type="dxa"/>
            <w:vAlign w:val="bottom"/>
          </w:tcPr>
          <w:p>
            <w:pPr>
              <w:jc w:val="right"/>
              <w:ind w:right="11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3,190</w:t>
            </w:r>
          </w:p>
        </w:tc>
        <w:tc>
          <w:tcPr>
            <w:tcW w:w="100" w:type="dxa"/>
            <w:vAlign w:val="bottom"/>
          </w:tcPr>
          <w:p>
            <w:pPr>
              <w:spacing w:after="0"/>
              <w:rPr>
                <w:sz w:val="19"/>
                <w:szCs w:val="19"/>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279</w:t>
            </w:r>
          </w:p>
        </w:tc>
      </w:tr>
      <w:tr>
        <w:trPr>
          <w:trHeight w:val="33"/>
        </w:trPr>
        <w:tc>
          <w:tcPr>
            <w:tcW w:w="6620" w:type="dxa"/>
            <w:vAlign w:val="bottom"/>
            <w:tcBorders>
              <w:bottom w:val="single" w:sz="8" w:color="CCFFC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6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restructuring costs</w:t>
            </w:r>
          </w:p>
        </w:tc>
        <w:tc>
          <w:tcPr>
            <w:tcW w:w="1300" w:type="dxa"/>
            <w:vAlign w:val="bottom"/>
            <w:tcBorders>
              <w:bottom w:val="single" w:sz="8" w:color="auto"/>
            </w:tcBorders>
            <w:shd w:val="clear" w:color="auto" w:fill="CCFFCC"/>
          </w:tcPr>
          <w:p>
            <w:pPr>
              <w:jc w:val="right"/>
              <w:ind w:right="112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3,190</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ind w:right="7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rPr>
              <w:t>279</w:t>
            </w:r>
          </w:p>
        </w:tc>
      </w:tr>
      <w:tr>
        <w:trPr>
          <w:trHeight w:val="20"/>
        </w:trPr>
        <w:tc>
          <w:tcPr>
            <w:tcW w:w="66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Legal Matters</w:t>
      </w:r>
    </w:p>
    <w:p>
      <w:pPr>
        <w:spacing w:after="0" w:line="1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Company previously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Customer, Inc. filed suit against the Company in the Northern District of California alleging patent infringement. On December 7, 2015, [24]7 Customer Inc.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the Company’s favor have invalidated the majority of [24]7 patents that were asserted in the patent cases. Trial for the Company’s intellectual property and other claims asserted against [24]7 in the original litigation </w:t>
      </w:r>
      <w:r>
        <w:rPr>
          <w:rFonts w:ascii="Arial" w:cs="Arial" w:eastAsia="Arial" w:hAnsi="Arial"/>
          <w:sz w:val="17"/>
          <w:szCs w:val="17"/>
          <w:color w:val="212529"/>
        </w:rPr>
        <w:t>was set for April 27, 2020, but that date was vacated due to court restrictions related to Covid-19 and will be reset</w:t>
      </w:r>
      <w:r>
        <w:rPr>
          <w:rFonts w:ascii="Arial" w:cs="Arial" w:eastAsia="Arial" w:hAnsi="Arial"/>
          <w:sz w:val="17"/>
          <w:szCs w:val="17"/>
          <w:color w:val="auto"/>
        </w:rPr>
        <w:t xml:space="preserve"> </w:t>
      </w:r>
      <w:r>
        <w:rPr>
          <w:rFonts w:ascii="Arial" w:cs="Arial" w:eastAsia="Arial" w:hAnsi="Arial"/>
          <w:sz w:val="17"/>
          <w:szCs w:val="17"/>
          <w:color w:val="212529"/>
        </w:rPr>
        <w:t>once those restrictions are lifted</w:t>
      </w:r>
      <w:r>
        <w:rPr>
          <w:rFonts w:ascii="Arial" w:cs="Arial" w:eastAsia="Arial" w:hAnsi="Arial"/>
          <w:sz w:val="17"/>
          <w:szCs w:val="17"/>
          <w:color w:val="000000"/>
        </w:rPr>
        <w:t>. Trial for [24]7’s patent infringement claims has been vacated, to be reset after the trial on LivePerson’s claims. The</w:t>
      </w:r>
      <w:r>
        <w:rPr>
          <w:rFonts w:ascii="Arial" w:cs="Arial" w:eastAsia="Arial" w:hAnsi="Arial"/>
          <w:sz w:val="17"/>
          <w:szCs w:val="17"/>
          <w:color w:val="212529"/>
        </w:rPr>
        <w:t xml:space="preserve"> </w:t>
      </w:r>
      <w:r>
        <w:rPr>
          <w:rFonts w:ascii="Arial" w:cs="Arial" w:eastAsia="Arial" w:hAnsi="Arial"/>
          <w:sz w:val="17"/>
          <w:szCs w:val="17"/>
          <w:color w:val="000000"/>
        </w:rPr>
        <w:t>Company believes the claims filed by [24]7 are entirely without merit and intends to defend them vigorously.</w:t>
      </w:r>
    </w:p>
    <w:p>
      <w:pPr>
        <w:spacing w:after="0" w:line="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statements as a whole or, if the amount of such adjustment cannot be reasonably estimated, disclose that an estimate cannot be made.</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We include interest accrued on the underpayment of income taxes in interest expense and penalties, if any, related to unrecognized tax benefits in general and administrative expenses. We recorded a valuation allowance as we considered our cumulative loss in recent years as a significant piece of negative evidence. Valuation allowances are established, when necessary, to reduce deferred tax assets to the amount expected to be realized.</w:t>
      </w:r>
    </w:p>
    <w:p>
      <w:pPr>
        <w:spacing w:after="0" w:line="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Under the CARES Act, the Company is able to recognize the benefit of the tax year 2018 loss by carrying back the loss to prior periods. The total tax benefit recognized in the Company’s condensed consolidated statement of operations for the three months ended March 31, 2020 as a result of the CARES Act is approximately $0.5 million.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55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11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Our discussion and analysis of our financial condition and results of operations is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 </w:t>
      </w:r>
      <w:r>
        <w:rPr>
          <w:rFonts w:ascii="Arial" w:cs="Arial" w:eastAsia="Arial" w:hAnsi="Arial"/>
          <w:sz w:val="16"/>
          <w:szCs w:val="16"/>
          <w:i w:val="1"/>
          <w:iCs w:val="1"/>
          <w:color w:val="212529"/>
        </w:rPr>
        <w:t>In addition, our actual results could differ from our estimates and assumptions based</w:t>
      </w:r>
      <w:r>
        <w:rPr>
          <w:rFonts w:ascii="Arial" w:cs="Arial" w:eastAsia="Arial" w:hAnsi="Arial"/>
          <w:sz w:val="16"/>
          <w:szCs w:val="16"/>
          <w:i w:val="1"/>
          <w:iCs w:val="1"/>
          <w:color w:val="auto"/>
        </w:rPr>
        <w:t xml:space="preserve"> </w:t>
      </w:r>
      <w:r>
        <w:rPr>
          <w:rFonts w:ascii="Arial" w:cs="Arial" w:eastAsia="Arial" w:hAnsi="Arial"/>
          <w:sz w:val="16"/>
          <w:szCs w:val="16"/>
          <w:i w:val="1"/>
          <w:iCs w:val="1"/>
          <w:color w:val="212529"/>
        </w:rPr>
        <w:t>upon impacts on our business and general economic conditions due to the current COVID-19 pandemic.</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ind w:firstLine="741"/>
        <w:spacing w:after="0" w:line="268" w:lineRule="auto"/>
        <w:rPr>
          <w:sz w:val="20"/>
          <w:szCs w:val="20"/>
          <w:color w:val="auto"/>
        </w:rPr>
      </w:pPr>
      <w:r>
        <w:rPr>
          <w:rFonts w:ascii="Arial" w:cs="Arial" w:eastAsia="Arial" w:hAnsi="Arial"/>
          <w:sz w:val="17"/>
          <w:szCs w:val="17"/>
          <w:color w:val="auto"/>
        </w:rPr>
        <w:t>LivePerson, Inc. (“LivePerson”, the “Company”, “we” or “our”) makes life easier for people and brands everywhere through messaging powered by AI and humans. During the past decade, the consumer has made the mobile device the center of their digital lives, and they have made mobile messaging the center of communication with friends, family and peers. Our technology enables consumers to connect with businesses through these same preferred conversational interfaces, including Facebook Messenger, SMS,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even marketing, social and brick and mortar engagements. For example, consumers can look up product info like ratings, images and pricing, search for stores, see product inventory, schedule appointments, apply for credit, approve repairs, make purchases or payments - all without ever leaving the messaging channel. We refer to these AI and human-assisted conversational experiences as the Conversational Space.</w:t>
      </w:r>
    </w:p>
    <w:p>
      <w:pPr>
        <w:spacing w:after="0" w:line="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LiveEngage, our enterprise-class cloud-based platform, enables businesses to become conversational by securely deploying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 (SMS), social media and third-party consumer messaging platforms. Brands can also use LiveEngage to message consumers when they dial a 1-800 number instead of forcing them to navigate interactive voice response systems (IVRs) and wait on hold. Similarly, LiveEngage can receive traditional emails and convert them into messaging conversations, or embed messaging conversations directly into web advertisements, rather than redirect consumers to static website landing pages.</w:t>
      </w:r>
    </w:p>
    <w:p>
      <w:pPr>
        <w:spacing w:after="0" w:line="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With LiveEngage, agents can manage all conversations with consumers through a single console interface, regardless of which disparate messaging endpoints the consumers originate from; i.e., WhatsApp, Line, Apple Business Chat, IVR, social, email, Alexa, or WeChat.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LiveEngage.</w:t>
      </w:r>
    </w:p>
    <w:p>
      <w:pPr>
        <w:spacing w:after="0" w:line="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LiveEngage offers brands a comprehensive approach to scaling automations across their millions of customer conversations.</w:t>
      </w:r>
    </w:p>
    <w:p>
      <w:pPr>
        <w:spacing w:after="0" w:line="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Complementing our proprietary messaging and Conversational AI offerings are teams of technical, solutions and consulting professionals that have developed deep domain expertise in the implementation and optimization of conversational</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877" w:right="339" w:bottom="1440" w:gutter="0" w:footer="0" w:header="0"/>
        </w:sectPr>
      </w:pPr>
    </w:p>
    <w:bookmarkStart w:id="36" w:name="page37"/>
    <w:bookmarkEnd w:id="36"/>
    <w:p>
      <w:pPr>
        <w:jc w:val="both"/>
        <w:spacing w:after="0" w:line="286" w:lineRule="auto"/>
        <w:rPr>
          <w:sz w:val="20"/>
          <w:szCs w:val="20"/>
          <w:color w:val="auto"/>
        </w:rPr>
      </w:pPr>
      <w:r>
        <w:rPr>
          <w:rFonts w:ascii="Arial" w:cs="Arial" w:eastAsia="Arial" w:hAnsi="Arial"/>
          <w:sz w:val="17"/>
          <w:szCs w:val="17"/>
          <w:color w:val="auto"/>
        </w:rPr>
        <w:t>services across industries and messaging endpoints. We are a leading authority in the Conversational Space. LivePerson’s products, coupled with our domain knowledge, industry expertise and professional services, have been proven to maximize the effectiveness of the Conversational Space and deliver measurable return on investment. Certain of our customers have achieved the following advantages from our offerings:</w:t>
      </w:r>
    </w:p>
    <w:p>
      <w:pPr>
        <w:spacing w:after="0" w:line="57" w:lineRule="exact"/>
        <w:rPr>
          <w:sz w:val="20"/>
          <w:szCs w:val="20"/>
          <w:color w:val="auto"/>
        </w:rPr>
      </w:pPr>
    </w:p>
    <w:p>
      <w:pPr>
        <w:ind w:left="1280" w:right="20" w:hanging="327"/>
        <w:spacing w:after="0" w:line="291" w:lineRule="auto"/>
        <w:tabs>
          <w:tab w:leader="none" w:pos="1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ind w:left="1280" w:hanging="327"/>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 efficiency gains of at least two times that of voice agents, effectively cutting labor costs by at least 50%;</w:t>
      </w:r>
    </w:p>
    <w:p>
      <w:pPr>
        <w:spacing w:after="0" w:line="9" w:lineRule="exact"/>
        <w:rPr>
          <w:rFonts w:ascii="Arial" w:cs="Arial" w:eastAsia="Arial" w:hAnsi="Arial"/>
          <w:sz w:val="18"/>
          <w:szCs w:val="18"/>
          <w:color w:val="auto"/>
        </w:rPr>
      </w:pPr>
    </w:p>
    <w:p>
      <w:pPr>
        <w:ind w:left="1280" w:right="20" w:hanging="327"/>
        <w:spacing w:after="0" w:line="250"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improving the overall customer experience, thereby fueling customer satisfaction increases of up to 20 percentage points, and enhancing retention and loyalty;</w:t>
      </w:r>
    </w:p>
    <w:p>
      <w:pPr>
        <w:ind w:left="1280" w:hanging="327"/>
        <w:spacing w:after="0" w:line="250"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more convenient, personalized and content-rich conversations that increase sales conversion by up to 20%, increase average order value and reduce abandonment;</w:t>
      </w:r>
    </w:p>
    <w:p>
      <w:pPr>
        <w:ind w:left="1280" w:hanging="327"/>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more satisfied contact center agents, thereby reducing agent churn by up to 50%;</w:t>
      </w:r>
    </w:p>
    <w:p>
      <w:pPr>
        <w:spacing w:after="0" w:line="9" w:lineRule="exact"/>
        <w:rPr>
          <w:rFonts w:ascii="Arial" w:cs="Arial" w:eastAsia="Arial" w:hAnsi="Arial"/>
          <w:sz w:val="18"/>
          <w:szCs w:val="18"/>
          <w:color w:val="auto"/>
        </w:rPr>
      </w:pPr>
    </w:p>
    <w:p>
      <w:pPr>
        <w:ind w:left="1280" w:right="20" w:hanging="327"/>
        <w:spacing w:after="0" w:line="250"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a valued connection with consumers via mobile devices, either through native applications, websites, text messages, or third-party messaging platforms;</w:t>
      </w:r>
    </w:p>
    <w:p>
      <w:pPr>
        <w:ind w:left="1280" w:hanging="327"/>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leverage spending that drives visitor traffic by increasing visitor conversions;</w:t>
      </w:r>
    </w:p>
    <w:p>
      <w:pPr>
        <w:spacing w:after="0" w:line="9" w:lineRule="exact"/>
        <w:rPr>
          <w:rFonts w:ascii="Arial" w:cs="Arial" w:eastAsia="Arial" w:hAnsi="Arial"/>
          <w:sz w:val="18"/>
          <w:szCs w:val="18"/>
          <w:color w:val="auto"/>
        </w:rPr>
      </w:pPr>
    </w:p>
    <w:p>
      <w:pPr>
        <w:ind w:left="1280" w:hanging="327"/>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refine and improve performance by understanding which initiatives deliver the highest rate of return; and</w:t>
      </w:r>
    </w:p>
    <w:p>
      <w:pPr>
        <w:spacing w:after="0" w:line="9" w:lineRule="exact"/>
        <w:rPr>
          <w:rFonts w:ascii="Arial" w:cs="Arial" w:eastAsia="Arial" w:hAnsi="Arial"/>
          <w:sz w:val="18"/>
          <w:szCs w:val="18"/>
          <w:color w:val="auto"/>
        </w:rPr>
      </w:pPr>
    </w:p>
    <w:p>
      <w:pPr>
        <w:ind w:left="1280" w:right="20" w:hanging="327"/>
        <w:spacing w:after="0" w:line="260"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lead generation by providing a single platform that engages consumers through advertisements and listings on branded and third-party websites.</w:t>
      </w:r>
    </w:p>
    <w:p>
      <w:pPr>
        <w:spacing w:after="0" w:line="2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 than 18,000 businesses, including HSBC, Orange, The Home Depot, and GM Financial use our conversational solutions to orchestrate humans and AI, at scale, and create a convenient, deeply personal relationship with their customers.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of LivePerson’s business solutions strategy include:</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Build awareness and drive adoption of the Conversational Space. </w:t>
      </w:r>
      <w:r>
        <w:rPr>
          <w:rFonts w:ascii="Arial" w:cs="Arial" w:eastAsia="Arial" w:hAnsi="Arial"/>
          <w:sz w:val="18"/>
          <w:szCs w:val="18"/>
          <w:color w:val="auto"/>
        </w:rPr>
        <w:t>LivePerson brought our first customer live on messaging in June 2016.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time, we have been focused on building awareness for conversational experiences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spacing w:after="0" w:line="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key component of our industry awareness marketing strategy has been to hold multiple global customer summits each year that target executives from enterprise customers and prospects, and feature a key theme within the Conversational Space, such as Apple Business Chat, Google Rich Business Messenger, IVR deflection or AI. LivePerson customers are the centerpoint of these summits, presenting why they chose LivePerson for conversational experiences, how they achieved success, and what type of ROI they have realized. Each attendee then receives a blueprint for how they can achieve similar outcomes. We have found this strategy to drive strong results for LivePerson, as we have seen a greater than 40% conversion rate on opportunities that were created or advanced as part of the customer summits. By year end 2019, we had brought approximately 300 customers live on messaging and increased adoption within our enterprise customers to nearly 55%. In addition, nearly 60% of messaging conversations had automation attached.</w:t>
      </w:r>
    </w:p>
    <w:p>
      <w:pPr>
        <w:spacing w:after="0" w:line="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light of the Coronavirus pandemic and recent shelter-in-place mandates, we have adapted our marketing strategy to include targeted digital experiences that emphasize the unique positioning of our messaging and AI offerings to help brands succeed in this new environment. Our marketing message has shifted from business improvement to business continuity and virtualization of the contact center.</w:t>
      </w:r>
    </w:p>
    <w:p>
      <w:pPr>
        <w:spacing w:after="0" w:line="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Increase messaging volumes by developing a broad ecosystem, expanding customer use cases, and focusing on AI and automation.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strategy is to drive higher messaging volumes by going both wide across messaging endpoints, deep across consumer use cases, and focusing on AI and automation as the means to deliver powerful scale.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spacing w:after="0" w:line="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order to drive broad messaging adoption, it is imperative that LiveEngage integrates to all of the messaging apps that consumers prefer to use for communication and addresses all key use cases. For example, if a consumer is an avid WhatsApp user,</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557" w:right="339" w:bottom="1440" w:gutter="0" w:footer="0" w:header="0"/>
        </w:sectPr>
      </w:pPr>
    </w:p>
    <w:bookmarkStart w:id="37" w:name="page38"/>
    <w:bookmarkEnd w:id="37"/>
    <w:p>
      <w:pPr>
        <w:jc w:val="both"/>
        <w:spacing w:after="0" w:line="290" w:lineRule="auto"/>
        <w:rPr>
          <w:sz w:val="20"/>
          <w:szCs w:val="20"/>
          <w:color w:val="auto"/>
        </w:rPr>
      </w:pPr>
      <w:r>
        <w:rPr>
          <w:rFonts w:ascii="Arial" w:cs="Arial" w:eastAsia="Arial" w:hAnsi="Arial"/>
          <w:sz w:val="16"/>
          <w:szCs w:val="16"/>
          <w:color w:val="auto"/>
        </w:rPr>
        <w:t>and a brand only offers SMS as a messaging option, that consumer may be reluctant to try messaging the brand. Therefore, a key strategy of ours has been to build one of the industry’s broadest ecosystems of messaging endpoints and use cases. In June 2016, we launched with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plan overage alerts into two-way conversations. Finally, we connected to Facebook and WhatsApp digital advertisements, enabling consumers to initiate messaging conversations for marketing and customer care directly within the advertisement.</w:t>
      </w:r>
    </w:p>
    <w:p>
      <w:pPr>
        <w:spacing w:after="0" w:line="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channel and use case added opens the door to hundreds of millions of new consumers, providing brands a greater opportunity to shift share away from their legacy contact center channels into messaging. For example, in 2019, leading airlines launched on WhatsApp and Apple Business Chat with the ability to make secure payments; a baseball stadium launched an automated conversational concierge providing answers to a wide range of questions from restroom locations to player stats; and a multinational telecommunications company used proactive two-way messaging for outbound campaigns.</w:t>
      </w:r>
    </w:p>
    <w:p>
      <w:pPr>
        <w:spacing w:after="0" w:line="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believe that this strategy has influenced LivePerson’s enterprise and mid-market revenue retention rate, (the trailing-twelve-month change in total revenue from existing customers after upsells, downsells and attrition) which was within our target range of 105% to 115% for 2019. The benefit can also be seen in LivePerson’s average revenue per user (ARPU) for our enterprise and mid-market customers, which increased approximately 20% in 2019 to $345,000 from approximately $285,000 in 2018. In fact, in 2019, the ARPU for Enterprise customers on messaging was more than 5 times higher than those on just chat. We believe these ARPU trends are a clear indication of how LivePerson’s strategy to drive messaging adoption has successfully influenced our revenue growth by taking share from legacy communication channels. We plan to continue adding new messaging endpoints and use cases, and to drive higher adoption of existing ones within our customer base.</w:t>
      </w:r>
    </w:p>
    <w:p>
      <w:pPr>
        <w:spacing w:after="0" w:line="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Attract the industry’s best AI, machine learning and conversational talent. </w:t>
      </w:r>
      <w:r>
        <w:rPr>
          <w:rFonts w:ascii="Arial" w:cs="Arial" w:eastAsia="Arial" w:hAnsi="Arial"/>
          <w:sz w:val="16"/>
          <w:szCs w:val="16"/>
          <w:color w:val="auto"/>
        </w:rPr>
        <w:t>We believe that AI and machine learning are critical to successfully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scaling in the Conversational Space, and that in order to develop the industry’s leading technology, we need to attract the industry's best talent. In 2018, LivePerson recruited Alex Spinelli, key architect of the Alexa Operating System at Amazon.com, as our Global CTO. Under Mr. Spinelli’s leadership, LivePerson opened an Advanced Technology Center in Seattle, Washington, where the Company now has more than 125 of the industry’s brightest data scientists, machine learning engineers and automation engineers, many from firms such as Nike, Amazon.com, Microsoft and Target, who are working exclusively on applying AI to the Conversational Space. LivePerson also expanded its Mannheim, Germany development center, and added key development talent through the acquisitions of BotCentral in Mountain View, California and Conversable in Austin, Texas.</w:t>
      </w:r>
    </w:p>
    <w:p>
      <w:pPr>
        <w:spacing w:after="0" w:line="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Bring to market best-in-class AI and machine learning technologies designed for the Conversational Space. </w:t>
      </w:r>
      <w:r>
        <w:rPr>
          <w:rFonts w:ascii="Arial" w:cs="Arial" w:eastAsia="Arial" w:hAnsi="Arial"/>
          <w:sz w:val="17"/>
          <w:szCs w:val="17"/>
          <w:color w:val="auto"/>
        </w:rPr>
        <w:t>We believe that in the last decade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many vendors introduced AI and bot offerings that created frustrating experiences for consumers and businesses alike, which in turn has eroded trust in automation. Many of these solutions have proven difficult to build and scale, and have been limited by stand alone implementations that lacked the measurement, reporting and human oversight of conversational platforms such as LiveEngage. In December 2018, LivePerson announced its patent pending AI engine that is designed to overcome these shortcomings and help brands rapidly bring to market conversational AI that can scale to millions of interactions, while increasing customer satisfaction and conversion rates.</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Unlike alternative solutions designed solely for IT departments, LivePerson’s Conversational AI was built to be used by developers </w:t>
      </w:r>
      <w:r>
        <w:rPr>
          <w:rFonts w:ascii="Arial" w:cs="Arial" w:eastAsia="Arial" w:hAnsi="Arial"/>
          <w:sz w:val="18"/>
          <w:szCs w:val="18"/>
          <w:i w:val="1"/>
          <w:iCs w:val="1"/>
          <w:color w:val="auto"/>
        </w:rPr>
        <w:t>and</w:t>
      </w:r>
      <w:r>
        <w:rPr>
          <w:rFonts w:ascii="Arial" w:cs="Arial" w:eastAsia="Arial" w:hAnsi="Arial"/>
          <w:sz w:val="18"/>
          <w:szCs w:val="18"/>
          <w:color w:val="auto"/>
        </w:rPr>
        <w:t xml:space="preserve"> contact center agents. By putting the power of conversational design and bot management in the hands of contact center agents, LivePerson’s Conversational AI gives brands the ability to leverage the employees closest to the customer, those who are most versed in the voice of the brand, and with the most expertise in how to craft successful outcomes for customer service and sales journeys.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of the key innovations behind LivePerson’s Conversational AI include:</w:t>
      </w:r>
    </w:p>
    <w:p>
      <w:pPr>
        <w:spacing w:after="0" w:line="117" w:lineRule="exact"/>
        <w:rPr>
          <w:sz w:val="20"/>
          <w:szCs w:val="20"/>
          <w:color w:val="auto"/>
        </w:rPr>
      </w:pPr>
    </w:p>
    <w:p>
      <w:pPr>
        <w:jc w:val="both"/>
        <w:ind w:left="1040" w:hanging="317"/>
        <w:spacing w:after="0" w:line="255"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holistic approach to scaling AI by combining consumer facing bots, agent facing bots, intelligent routing and real-time intent understanding, with an analytics dashboard that helps users focus on the intents that are impacting their business and prioritize which intents to automate next</w:t>
      </w:r>
    </w:p>
    <w:p>
      <w:pPr>
        <w:spacing w:after="0" w:line="2" w:lineRule="exact"/>
        <w:rPr>
          <w:rFonts w:ascii="Arial" w:cs="Arial" w:eastAsia="Arial" w:hAnsi="Arial"/>
          <w:sz w:val="18"/>
          <w:szCs w:val="18"/>
          <w:color w:val="auto"/>
        </w:rPr>
      </w:pPr>
    </w:p>
    <w:p>
      <w:pPr>
        <w:ind w:left="1040" w:hanging="317"/>
        <w:spacing w:after="0" w:line="260"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bot building software that is based on dialogue instead of workflow or code, so non-technical employees like contact center agents can design automations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557" w:right="339" w:bottom="1440" w:gutter="0" w:footer="0" w:header="0"/>
        </w:sectPr>
      </w:pPr>
    </w:p>
    <w:bookmarkStart w:id="38" w:name="page39"/>
    <w:bookmarkEnd w:id="38"/>
    <w:p>
      <w:pPr>
        <w:jc w:val="both"/>
        <w:ind w:left="1040" w:hanging="317"/>
        <w:spacing w:after="0" w:line="255"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leverage a data moat of hundreds of millions of conversations to feed the machine learning that rapidly and accurately detects consumer sentiment and intents in real-time. Use intent understanding for advanced routing, next-best actions, and to fully contain conversations with automation</w:t>
      </w:r>
    </w:p>
    <w:p>
      <w:pPr>
        <w:spacing w:after="0" w:line="2" w:lineRule="exact"/>
        <w:rPr>
          <w:rFonts w:ascii="Arial" w:cs="Arial" w:eastAsia="Arial" w:hAnsi="Arial"/>
          <w:sz w:val="18"/>
          <w:szCs w:val="18"/>
          <w:color w:val="auto"/>
        </w:rPr>
      </w:pPr>
    </w:p>
    <w:p>
      <w:pPr>
        <w:ind w:left="1040" w:hanging="317"/>
        <w:spacing w:after="0" w:line="250"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establishing of contact center agents as bot managers, ensuring that every conversation is safeguarded by a human and that agents are continuously training the AI to be smarter and drive more successful outcomes</w:t>
      </w:r>
    </w:p>
    <w:p>
      <w:pPr>
        <w:ind w:left="1040" w:hanging="317"/>
        <w:spacing w:after="0" w:line="250"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powerful Assist technology that multiplies the efficiency of agents by analyzing intents in real time and then suggesting next best actions, predefined content, and bots that can take over transactional work</w:t>
      </w:r>
    </w:p>
    <w:p>
      <w:pPr>
        <w:ind w:left="1040" w:hanging="317"/>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pre-built templates for target verticals that provide out of the box support for the top intents and back-end integrations</w:t>
      </w:r>
    </w:p>
    <w:p>
      <w:pPr>
        <w:spacing w:after="0" w:line="9" w:lineRule="exact"/>
        <w:rPr>
          <w:rFonts w:ascii="Arial" w:cs="Arial" w:eastAsia="Arial" w:hAnsi="Arial"/>
          <w:sz w:val="18"/>
          <w:szCs w:val="18"/>
          <w:color w:val="auto"/>
        </w:rPr>
      </w:pPr>
    </w:p>
    <w:p>
      <w:pPr>
        <w:ind w:left="1040" w:hanging="317"/>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bootstrap conversations with existing transcripts, reducing design effort and speeding time to market</w:t>
      </w:r>
    </w:p>
    <w:p>
      <w:pPr>
        <w:spacing w:after="0" w:line="9" w:lineRule="exact"/>
        <w:rPr>
          <w:rFonts w:ascii="Arial" w:cs="Arial" w:eastAsia="Arial" w:hAnsi="Arial"/>
          <w:sz w:val="18"/>
          <w:szCs w:val="18"/>
          <w:color w:val="auto"/>
        </w:rPr>
      </w:pPr>
    </w:p>
    <w:p>
      <w:pPr>
        <w:ind w:left="1040" w:hanging="317"/>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AI natural language understanding (NLU) integration, so customers aren’t boxed into one vendor</w:t>
      </w:r>
    </w:p>
    <w:p>
      <w:pPr>
        <w:spacing w:after="0" w:line="9" w:lineRule="exact"/>
        <w:rPr>
          <w:rFonts w:ascii="Arial" w:cs="Arial" w:eastAsia="Arial" w:hAnsi="Arial"/>
          <w:sz w:val="18"/>
          <w:szCs w:val="18"/>
          <w:color w:val="auto"/>
        </w:rPr>
      </w:pPr>
    </w:p>
    <w:p>
      <w:pPr>
        <w:ind w:left="1040" w:hanging="317"/>
        <w:spacing w:after="0" w:line="260"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AI analytics and reporting tailored to the Conversational Space, providing brands with immediate, actionable insights about their businesses and contact center operations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strategy is to continue to enhance the Conversational AI engine and related products, leveraging our global R&amp;D footprint and substantial library of mobile and online conversational data, with the aim of increasing agent efficiency, decreasing customer care costs, improving the customer experience and increasing customer lifetime value.</w:t>
      </w:r>
    </w:p>
    <w:p>
      <w:pPr>
        <w:spacing w:after="0" w:line="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Sustain our leadership position by aligning brands to a vision that transforms how they communicate with consumers and delivers a superior return on investment. </w:t>
      </w:r>
      <w:r>
        <w:rPr>
          <w:rFonts w:ascii="Arial" w:cs="Arial" w:eastAsia="Arial" w:hAnsi="Arial"/>
          <w:sz w:val="18"/>
          <w:szCs w:val="18"/>
          <w:color w:val="auto"/>
        </w:rPr>
        <w:t>We believe that most contact center technology vendors incorrectly view messaging as a feature. They are content with building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integrations to a messaging endpoint and offering messaging as just another product in their suite. LivePerson holds the perspective that messaging and AI are the foundation for transforming conversational experiences, disrupting how agents operate and how brands engage with consumers across service, sales, marketing, social and brick and mortar. Brands must adapt their contact centers to an asynchronous messaging environment and leverage a combination of human agents, bots and AI to achieve scale and efficiencies. When done correctly, the entire consumer lifecycle with a brand will be maintained within the Conversational Space, and traffic will steadily shift away from lower returning voice calls, websites, emails and apps to higher returning messaging endpoints.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LivePerson is uniquely positioned to deliver this transformation due to our technology and expertise:</w:t>
      </w:r>
    </w:p>
    <w:p>
      <w:pPr>
        <w:spacing w:after="0" w:line="117" w:lineRule="exact"/>
        <w:rPr>
          <w:sz w:val="20"/>
          <w:szCs w:val="20"/>
          <w:color w:val="auto"/>
        </w:rPr>
      </w:pPr>
    </w:p>
    <w:p>
      <w:pPr>
        <w:jc w:val="both"/>
        <w:ind w:left="1040" w:hanging="317"/>
        <w:spacing w:after="0" w:line="253"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LiveEngage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 measurement. Additionally, LiveEngage is an open platform with pre-built, enterprise-grade integrations into back-end systems as well as the ability to work across natural language understanding (NLU) providers.</w:t>
      </w:r>
    </w:p>
    <w:p>
      <w:pPr>
        <w:spacing w:after="0" w:line="1" w:lineRule="exact"/>
        <w:rPr>
          <w:rFonts w:ascii="Arial" w:cs="Arial" w:eastAsia="Arial" w:hAnsi="Arial"/>
          <w:sz w:val="18"/>
          <w:szCs w:val="18"/>
          <w:color w:val="auto"/>
        </w:rPr>
      </w:pPr>
    </w:p>
    <w:p>
      <w:pPr>
        <w:ind w:left="1040" w:hanging="317"/>
        <w:spacing w:after="0" w:line="250"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has a data moat built on hundreds of millions of conversations across industries, geographies and use cases that is feeding the machine learning engines that power intent understanding.</w:t>
      </w:r>
    </w:p>
    <w:p>
      <w:pPr>
        <w:ind w:left="1040" w:hanging="317"/>
        <w:spacing w:after="0" w:line="250"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platform has expanded to power conversations across a broad spectrum of channels and use cases, from traditional sales and customer service, to marketing, social, email, advertising and brick and mortar.</w:t>
      </w:r>
    </w:p>
    <w:p>
      <w:pPr>
        <w:jc w:val="both"/>
        <w:ind w:left="1040" w:hanging="317"/>
        <w:spacing w:after="0" w:line="253"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spacing w:after="0" w:line="1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LivePerson’s differentiated approach to the Conversational Space, combined with our unique technology and expertise has established us as a market leader, with an ability to deliver superior returns on investment. LivePerson customers manage as many as 40 messaging conversations at a time, as compared to one at a time for a voice agent and two to four at a time for a good chat agent. Adding AI and bots provides even greater scale to the number of conversations managed. Our customers often see labor efficiency gains of at least two times that of voice agents, effectively cutting labor costs by at least 50%. Furthermore, our ability to deliver more convenient, personalized and content-rich conversations often drives increases in customer satisfaction of up to 20 percentage points and increases in sales conversions of up to 20%, while enhancing average order value, customer retention and loyalty.</w:t>
      </w:r>
    </w:p>
    <w:p>
      <w:pPr>
        <w:spacing w:after="0" w:line="87"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8"/>
          <w:szCs w:val="18"/>
          <w:b w:val="1"/>
          <w:bCs w:val="1"/>
          <w:i w:val="1"/>
          <w:iCs w:val="1"/>
          <w:color w:val="auto"/>
        </w:rPr>
        <w:t xml:space="preserve">Strengthen our position in both existing and new industries. </w:t>
      </w:r>
      <w:r>
        <w:rPr>
          <w:rFonts w:ascii="Arial" w:cs="Arial" w:eastAsia="Arial" w:hAnsi="Arial"/>
          <w:sz w:val="18"/>
          <w:szCs w:val="18"/>
          <w:color w:val="auto"/>
        </w:rPr>
        <w:t>We plan to continue to develop our market position by increasing our customer base,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within our installed base. We will continue to focus primarily on key target markets: consumer/retail, telecommunications, financial services, travel/hospitality, technology and automotive within both our enterprise and mid-market sectors, as well as the small business (SMB) sector. In 2019, we made strong inroads into new verticals with key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557" w:right="339" w:bottom="1440" w:gutter="0" w:footer="0" w:header="0"/>
        </w:sectPr>
      </w:pPr>
    </w:p>
    <w:bookmarkStart w:id="39" w:name="page40"/>
    <w:bookmarkEnd w:id="39"/>
    <w:p>
      <w:pPr>
        <w:jc w:val="both"/>
        <w:ind w:right="20"/>
        <w:spacing w:after="0" w:line="277" w:lineRule="auto"/>
        <w:rPr>
          <w:sz w:val="20"/>
          <w:szCs w:val="20"/>
          <w:color w:val="auto"/>
        </w:rPr>
      </w:pPr>
      <w:r>
        <w:rPr>
          <w:rFonts w:ascii="Arial" w:cs="Arial" w:eastAsia="Arial" w:hAnsi="Arial"/>
          <w:sz w:val="18"/>
          <w:szCs w:val="18"/>
          <w:color w:val="auto"/>
        </w:rPr>
        <w:t>wins in the airline, foodservice and healthcare industries. We are increasingly structuring our field organization to emphasize our domain expertise and strengthen customer relationships across target industries.</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Continue to build our international presence. </w:t>
      </w:r>
      <w:r>
        <w:rPr>
          <w:rFonts w:ascii="Arial" w:cs="Arial" w:eastAsia="Arial" w:hAnsi="Arial"/>
          <w:sz w:val="18"/>
          <w:szCs w:val="18"/>
          <w:color w:val="auto"/>
        </w:rPr>
        <w:t>We are focused on expanding our international revenue contribution, which increased to 41%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revenue in 2019 and 2018, up from 37% in 2017. We are generating positive results from our recent investments in the Asia Pacific region, and recently opened an office in Latin America.</w:t>
      </w:r>
    </w:p>
    <w:p>
      <w:pPr>
        <w:spacing w:after="0" w:line="76" w:lineRule="exact"/>
        <w:rPr>
          <w:sz w:val="20"/>
          <w:szCs w:val="20"/>
          <w:color w:val="auto"/>
        </w:rPr>
      </w:pPr>
    </w:p>
    <w:p>
      <w:pPr>
        <w:jc w:val="both"/>
        <w:ind w:firstLine="238"/>
        <w:spacing w:after="0" w:line="254" w:lineRule="auto"/>
        <w:rPr>
          <w:sz w:val="20"/>
          <w:szCs w:val="20"/>
          <w:color w:val="auto"/>
        </w:rPr>
      </w:pPr>
      <w:r>
        <w:rPr>
          <w:rFonts w:ascii="Arial" w:cs="Arial" w:eastAsia="Arial" w:hAnsi="Arial"/>
          <w:sz w:val="18"/>
          <w:szCs w:val="18"/>
          <w:b w:val="1"/>
          <w:bCs w:val="1"/>
          <w:i w:val="1"/>
          <w:iCs w:val="1"/>
          <w:color w:val="auto"/>
        </w:rPr>
        <w:t xml:space="preserve">Leverage our open architecture to support partners and developers. </w:t>
      </w:r>
      <w:r>
        <w:rPr>
          <w:rFonts w:ascii="Arial" w:cs="Arial" w:eastAsia="Arial" w:hAnsi="Arial"/>
          <w:sz w:val="18"/>
          <w:szCs w:val="18"/>
          <w:color w:val="auto"/>
        </w:rPr>
        <w:t>In addition to developing our own applications, we continue to cultivate a partner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eco-system capable of offering additional applications and services to our customers. We integrate into approximately a dozen third-party messaging endpoints including SMS, Facebook Messenger, Apple Business Chat, Google Rich Business Messenger, Line, WhatsApp, Alexa, Google Home, WeChat, Google Ad Lingo and Twitter, multiple IVR vendors and dozens of branded apps. LiveEngage integrates our proprietary messaging and Conversational AI with third-party bot offerings,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spacing w:after="0" w:line="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we have opened up access to our platform and our products with more than 40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integration capability that allows brands to more easily and rapidly customize conversations flows within LiveEngage through functions-as-a-service technology.</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Expand sales partnerships to broaden our presence and accelerate sales cycles. </w:t>
      </w:r>
      <w:r>
        <w:rPr>
          <w:rFonts w:ascii="Arial" w:cs="Arial" w:eastAsia="Arial" w:hAnsi="Arial"/>
          <w:sz w:val="17"/>
          <w:szCs w:val="17"/>
          <w:color w:val="auto"/>
        </w:rPr>
        <w:t>We are focused on broadening our market reach and accelerating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cycles by partnering with systems integrators, technology providers, business process outsourcers, value added resellers and other sales partners. We formalized a relationship with IBM Global Business Services in 2017 and Accenture in 2018. In 2019, we announced strategic partnerships with TTEC, a leading BPO focused on customer experience, and DMI, a digital transformation company, to redefine the customer experience with digital engagement, messaging, and AI-driven automation. LivePerson increased the number of partners focused on SMBs to more than 300 at year-end 2019, from over 150 at year-end 2018, and approximately 40 at the end of 2017. Approximately one quarter of all opportunities were influenced by partners in 2019, and we are focused on driving that contribution toward 40% longer term.</w:t>
      </w:r>
    </w:p>
    <w:p>
      <w:pPr>
        <w:spacing w:after="0" w:line="69"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b w:val="1"/>
          <w:bCs w:val="1"/>
          <w:i w:val="1"/>
          <w:iCs w:val="1"/>
          <w:color w:val="auto"/>
        </w:rPr>
        <w:t xml:space="preserve">Maintain Market Leadership in Technology and Security Expertise. </w:t>
      </w:r>
      <w:r>
        <w:rPr>
          <w:rFonts w:ascii="Arial" w:cs="Arial" w:eastAsia="Arial" w:hAnsi="Arial"/>
          <w:sz w:val="18"/>
          <w:szCs w:val="18"/>
          <w:color w:val="auto"/>
        </w:rPr>
        <w:t>As described above, we are devoting significant resources to creating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enabling 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84"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b w:val="1"/>
          <w:bCs w:val="1"/>
          <w:i w:val="1"/>
          <w:iCs w:val="1"/>
          <w:color w:val="auto"/>
        </w:rPr>
        <w:t xml:space="preserve">Evaluate Strategic Alliances and Acquisitions When Appropriate. </w:t>
      </w:r>
      <w:r>
        <w:rPr>
          <w:rFonts w:ascii="Arial" w:cs="Arial" w:eastAsia="Arial" w:hAnsi="Arial"/>
          <w:sz w:val="18"/>
          <w:szCs w:val="18"/>
          <w:color w:val="auto"/>
        </w:rPr>
        <w:t>We have successfully integrated several acquisitions over the past decade.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7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overview of the three months ended March 31, 2020 compared to the three months ended March 31, 2019:</w:t>
      </w:r>
    </w:p>
    <w:p>
      <w:pPr>
        <w:spacing w:after="0" w:line="117" w:lineRule="exact"/>
        <w:rPr>
          <w:sz w:val="20"/>
          <w:szCs w:val="20"/>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revenue increased 18% to $78.1 million from $66.4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from our Business segment increased 18% to $71.8 million from $61.0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profit margin decreased to 71% from 72%.</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 and expenses increased 31% to $111.3 million from $84.8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loss increased to $37.0 million from $18.9 million.</w:t>
      </w:r>
    </w:p>
    <w:p>
      <w:pPr>
        <w:spacing w:after="0" w:line="63" w:lineRule="exact"/>
        <w:rPr>
          <w:rFonts w:ascii="Arial" w:cs="Arial" w:eastAsia="Arial" w:hAnsi="Arial"/>
          <w:sz w:val="18"/>
          <w:szCs w:val="18"/>
          <w:color w:val="auto"/>
        </w:rPr>
      </w:pPr>
    </w:p>
    <w:p>
      <w:pPr>
        <w:ind w:left="1140" w:right="20" w:hanging="322"/>
        <w:spacing w:after="0" w:line="298" w:lineRule="auto"/>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Average annual revenue per enterprise and mid-market customer increased greater than 20% to approximately $365,000 for the trailing-twelve-months ended March 31, 2020, as compared to $300,000 for the trailing-twelve-months ended March 31, 2019.</w:t>
      </w:r>
    </w:p>
    <w:p>
      <w:pPr>
        <w:jc w:val="both"/>
        <w:ind w:left="1140" w:hanging="322"/>
        <w:spacing w:after="0" w:line="286" w:lineRule="auto"/>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target for enterprise and mid-market revenue retention in 2020 matches 2019, and is a range of 105% to 115%. Revenue retention was within that range for both the first quarter of 2020 and the first quarter of 2019. Revenue retention rate measures the percentage of revenue retained at quarter end, from full service customers that were on LiveEngage at the same period a year ago.</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EBITDA and Adjusted Operating Income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557" w:right="339" w:bottom="1440" w:gutter="0" w:footer="0" w:header="0"/>
        </w:sectPr>
      </w:pPr>
    </w:p>
    <w:bookmarkStart w:id="40" w:name="page41"/>
    <w:bookmarkEnd w:id="40"/>
    <w:p>
      <w:pPr>
        <w:jc w:val="both"/>
        <w:ind w:right="420" w:firstLine="648"/>
        <w:spacing w:after="0" w:line="263"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operating income which are non-GAAP financial measures. The tables below present a reconciliation of adjusted EBITDA and adjusted operating income to net (loss) income, the most directly comparable GAAP financial measures.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included adjusted EBITDA and adjusted operating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operating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operating income provide useful information to investors and others in understanding and evaluating our operating results in the same manner as our management and board of directors.</w:t>
      </w:r>
    </w:p>
    <w:p>
      <w:pPr>
        <w:spacing w:after="0" w:line="177"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1" w:lineRule="exact"/>
        <w:rPr>
          <w:sz w:val="20"/>
          <w:szCs w:val="20"/>
          <w:color w:val="auto"/>
        </w:rPr>
      </w:pPr>
    </w:p>
    <w:p>
      <w:pPr>
        <w:jc w:val="both"/>
        <w:ind w:left="1140" w:hanging="322"/>
        <w:spacing w:after="0" w:line="250"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consider the impact of acquisition costs;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consider the impact of restructuring costs;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consider the impact of other costs;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9" w:lineRule="exact"/>
        <w:rPr>
          <w:rFonts w:ascii="Arial" w:cs="Arial" w:eastAsia="Arial" w:hAnsi="Arial"/>
          <w:sz w:val="18"/>
          <w:szCs w:val="18"/>
          <w:color w:val="auto"/>
        </w:rPr>
      </w:pPr>
    </w:p>
    <w:p>
      <w:pPr>
        <w:ind w:left="1140" w:hanging="322"/>
        <w:spacing w:after="0" w:line="260"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9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w w:val="99"/>
              </w:rPr>
              <w:t>Three Months Ended March 31,</w:t>
            </w:r>
          </w:p>
        </w:tc>
        <w:tc>
          <w:tcPr>
            <w:tcW w:w="320" w:type="dxa"/>
            <w:vAlign w:val="bottom"/>
          </w:tcPr>
          <w:p>
            <w:pPr>
              <w:spacing w:after="0"/>
              <w:rPr>
                <w:sz w:val="16"/>
                <w:szCs w:val="16"/>
                <w:color w:val="auto"/>
              </w:rPr>
            </w:pPr>
          </w:p>
        </w:tc>
      </w:tr>
      <w:tr>
        <w:trPr>
          <w:trHeight w:val="263"/>
        </w:trPr>
        <w:tc>
          <w:tcPr>
            <w:tcW w:w="8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2"/>
                <w:szCs w:val="22"/>
                <w:color w:val="auto"/>
              </w:rPr>
            </w:pPr>
          </w:p>
        </w:tc>
      </w:tr>
      <w:tr>
        <w:trPr>
          <w:trHeight w:val="264"/>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Reconciliation of Adjusted EBITDA</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76"/>
        </w:trPr>
        <w:tc>
          <w:tcPr>
            <w:tcW w:w="8240" w:type="dxa"/>
            <w:vAlign w:val="bottom"/>
            <w:shd w:val="clear" w:color="auto" w:fill="CCFFCC"/>
          </w:tcPr>
          <w:p>
            <w:pPr>
              <w:ind w:left="20"/>
              <w:spacing w:after="0"/>
              <w:rPr>
                <w:sz w:val="20"/>
                <w:szCs w:val="20"/>
                <w:color w:val="auto"/>
              </w:rPr>
            </w:pPr>
            <w:r>
              <w:rPr>
                <w:rFonts w:ascii="Arial" w:cs="Arial" w:eastAsia="Arial" w:hAnsi="Arial"/>
                <w:sz w:val="14"/>
                <w:szCs w:val="14"/>
                <w:color w:val="auto"/>
              </w:rPr>
              <w:t>GAAP net loss</w:t>
            </w: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(37,001)</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(18,890)</w:t>
            </w:r>
          </w:p>
        </w:tc>
        <w:tc>
          <w:tcPr>
            <w:tcW w:w="320" w:type="dxa"/>
            <w:vAlign w:val="bottom"/>
            <w:shd w:val="clear" w:color="auto" w:fill="CCFFCC"/>
          </w:tcPr>
          <w:p>
            <w:pPr>
              <w:spacing w:after="0"/>
              <w:rPr>
                <w:sz w:val="24"/>
                <w:szCs w:val="24"/>
                <w:color w:val="auto"/>
              </w:rPr>
            </w:pPr>
          </w:p>
        </w:tc>
      </w:tr>
      <w:tr>
        <w:trPr>
          <w:trHeight w:val="264"/>
        </w:trPr>
        <w:tc>
          <w:tcPr>
            <w:tcW w:w="8240" w:type="dxa"/>
            <w:vAlign w:val="bottom"/>
          </w:tcPr>
          <w:p>
            <w:pPr>
              <w:ind w:left="260"/>
              <w:spacing w:after="0"/>
              <w:rPr>
                <w:sz w:val="20"/>
                <w:szCs w:val="20"/>
                <w:color w:val="auto"/>
              </w:rPr>
            </w:pPr>
            <w:r>
              <w:rPr>
                <w:rFonts w:ascii="Arial" w:cs="Arial" w:eastAsia="Arial" w:hAnsi="Arial"/>
                <w:sz w:val="14"/>
                <w:szCs w:val="14"/>
                <w:color w:val="auto"/>
              </w:rPr>
              <w:t>Amortization of purchased intangibles</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689</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746</w:t>
            </w:r>
          </w:p>
        </w:tc>
        <w:tc>
          <w:tcPr>
            <w:tcW w:w="320" w:type="dxa"/>
            <w:vAlign w:val="bottom"/>
          </w:tcPr>
          <w:p>
            <w:pPr>
              <w:spacing w:after="0"/>
              <w:rPr>
                <w:sz w:val="22"/>
                <w:szCs w:val="22"/>
                <w:color w:val="auto"/>
              </w:rPr>
            </w:pPr>
          </w:p>
        </w:tc>
      </w:tr>
      <w:tr>
        <w:trPr>
          <w:trHeight w:val="276"/>
        </w:trPr>
        <w:tc>
          <w:tcPr>
            <w:tcW w:w="8240" w:type="dxa"/>
            <w:vAlign w:val="bottom"/>
            <w:shd w:val="clear" w:color="auto" w:fill="CCFFCC"/>
          </w:tcPr>
          <w:p>
            <w:pPr>
              <w:ind w:left="26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FFCC"/>
          </w:tcPr>
          <w:p>
            <w:pPr>
              <w:spacing w:after="0"/>
              <w:rPr>
                <w:sz w:val="24"/>
                <w:szCs w:val="24"/>
                <w:color w:val="auto"/>
              </w:rPr>
            </w:pPr>
          </w:p>
        </w:tc>
        <w:tc>
          <w:tcPr>
            <w:tcW w:w="9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14,695</w:t>
            </w:r>
          </w:p>
        </w:tc>
        <w:tc>
          <w:tcPr>
            <w:tcW w:w="32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7,166</w:t>
            </w:r>
          </w:p>
        </w:tc>
        <w:tc>
          <w:tcPr>
            <w:tcW w:w="320" w:type="dxa"/>
            <w:vAlign w:val="bottom"/>
            <w:shd w:val="clear" w:color="auto" w:fill="CCFFCC"/>
          </w:tcPr>
          <w:p>
            <w:pPr>
              <w:spacing w:after="0"/>
              <w:rPr>
                <w:sz w:val="24"/>
                <w:szCs w:val="24"/>
                <w:color w:val="auto"/>
              </w:rPr>
            </w:pPr>
          </w:p>
        </w:tc>
      </w:tr>
      <w:tr>
        <w:trPr>
          <w:trHeight w:val="264"/>
        </w:trPr>
        <w:tc>
          <w:tcPr>
            <w:tcW w:w="8240" w:type="dxa"/>
            <w:vAlign w:val="bottom"/>
          </w:tcPr>
          <w:p>
            <w:pPr>
              <w:ind w:left="260"/>
              <w:spacing w:after="0"/>
              <w:rPr>
                <w:sz w:val="20"/>
                <w:szCs w:val="20"/>
                <w:color w:val="auto"/>
              </w:rPr>
            </w:pPr>
            <w:r>
              <w:rPr>
                <w:rFonts w:ascii="Arial" w:cs="Arial" w:eastAsia="Arial" w:hAnsi="Arial"/>
                <w:sz w:val="14"/>
                <w:szCs w:val="14"/>
                <w:color w:val="auto"/>
              </w:rPr>
              <w:t>Contingent earn-out adjustments</w:t>
            </w:r>
          </w:p>
        </w:tc>
        <w:tc>
          <w:tcPr>
            <w:tcW w:w="18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(263)</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r>
      <w:tr>
        <w:trPr>
          <w:trHeight w:val="222"/>
        </w:trPr>
        <w:tc>
          <w:tcPr>
            <w:tcW w:w="8240" w:type="dxa"/>
            <w:vAlign w:val="bottom"/>
            <w:shd w:val="clear" w:color="auto" w:fill="CCFFCC"/>
          </w:tcPr>
          <w:p>
            <w:pPr>
              <w:ind w:left="260"/>
              <w:spacing w:after="0"/>
              <w:rPr>
                <w:sz w:val="20"/>
                <w:szCs w:val="20"/>
                <w:color w:val="auto"/>
              </w:rPr>
            </w:pPr>
            <w:r>
              <w:rPr>
                <w:rFonts w:ascii="Arial" w:cs="Arial" w:eastAsia="Arial" w:hAnsi="Arial"/>
                <w:sz w:val="14"/>
                <w:szCs w:val="14"/>
                <w:color w:val="auto"/>
              </w:rPr>
              <w:t>Restructuring costs</w:t>
            </w:r>
          </w:p>
        </w:tc>
        <w:tc>
          <w:tcPr>
            <w:tcW w:w="180" w:type="dxa"/>
            <w:vAlign w:val="bottom"/>
            <w:shd w:val="clear" w:color="auto" w:fill="CCFFCC"/>
          </w:tcPr>
          <w:p>
            <w:pPr>
              <w:spacing w:after="0"/>
              <w:rPr>
                <w:sz w:val="19"/>
                <w:szCs w:val="19"/>
                <w:color w:val="auto"/>
              </w:rPr>
            </w:pPr>
          </w:p>
        </w:tc>
        <w:tc>
          <w:tcPr>
            <w:tcW w:w="9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3,190</w:t>
            </w:r>
          </w:p>
        </w:tc>
        <w:tc>
          <w:tcPr>
            <w:tcW w:w="320" w:type="dxa"/>
            <w:vAlign w:val="bottom"/>
            <w:shd w:val="clear" w:color="auto" w:fill="CCFFCC"/>
          </w:tcPr>
          <w:p>
            <w:pPr>
              <w:jc w:val="right"/>
              <w:ind w:right="142"/>
              <w:spacing w:after="0"/>
              <w:rPr>
                <w:sz w:val="20"/>
                <w:szCs w:val="20"/>
                <w:color w:val="auto"/>
              </w:rPr>
            </w:pPr>
            <w:r>
              <w:rPr>
                <w:rFonts w:ascii="Arial" w:cs="Arial" w:eastAsia="Arial" w:hAnsi="Arial"/>
                <w:sz w:val="9"/>
                <w:szCs w:val="9"/>
                <w:color w:val="auto"/>
                <w:w w:val="90"/>
              </w:rPr>
              <w:t>(1)</w:t>
            </w:r>
          </w:p>
        </w:tc>
        <w:tc>
          <w:tcPr>
            <w:tcW w:w="260" w:type="dxa"/>
            <w:vAlign w:val="bottom"/>
            <w:shd w:val="clear" w:color="auto" w:fill="CCFFCC"/>
          </w:tcPr>
          <w:p>
            <w:pPr>
              <w:spacing w:after="0"/>
              <w:rPr>
                <w:sz w:val="19"/>
                <w:szCs w:val="19"/>
                <w:color w:val="auto"/>
              </w:rPr>
            </w:pPr>
          </w:p>
        </w:tc>
        <w:tc>
          <w:tcPr>
            <w:tcW w:w="8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279</w:t>
            </w:r>
          </w:p>
        </w:tc>
        <w:tc>
          <w:tcPr>
            <w:tcW w:w="320" w:type="dxa"/>
            <w:vAlign w:val="bottom"/>
            <w:shd w:val="clear" w:color="auto" w:fill="CCFFCC"/>
          </w:tcPr>
          <w:p>
            <w:pPr>
              <w:jc w:val="right"/>
              <w:ind w:right="155"/>
              <w:spacing w:after="0"/>
              <w:rPr>
                <w:sz w:val="20"/>
                <w:szCs w:val="20"/>
                <w:color w:val="auto"/>
              </w:rPr>
            </w:pPr>
            <w:r>
              <w:rPr>
                <w:rFonts w:ascii="Arial" w:cs="Arial" w:eastAsia="Arial" w:hAnsi="Arial"/>
                <w:sz w:val="9"/>
                <w:szCs w:val="9"/>
                <w:color w:val="auto"/>
                <w:w w:val="90"/>
              </w:rPr>
              <w:t>(1)</w:t>
            </w:r>
          </w:p>
        </w:tc>
      </w:tr>
      <w:tr>
        <w:trPr>
          <w:trHeight w:val="264"/>
        </w:trPr>
        <w:tc>
          <w:tcPr>
            <w:tcW w:w="8240" w:type="dxa"/>
            <w:vAlign w:val="bottom"/>
          </w:tcPr>
          <w:p>
            <w:pPr>
              <w:ind w:left="260"/>
              <w:spacing w:after="0"/>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5,537</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3,881</w:t>
            </w:r>
          </w:p>
        </w:tc>
        <w:tc>
          <w:tcPr>
            <w:tcW w:w="320" w:type="dxa"/>
            <w:vAlign w:val="bottom"/>
          </w:tcPr>
          <w:p>
            <w:pPr>
              <w:spacing w:after="0"/>
              <w:rPr>
                <w:sz w:val="22"/>
                <w:szCs w:val="22"/>
                <w:color w:val="auto"/>
              </w:rPr>
            </w:pPr>
          </w:p>
        </w:tc>
      </w:tr>
      <w:tr>
        <w:trPr>
          <w:trHeight w:val="222"/>
        </w:trPr>
        <w:tc>
          <w:tcPr>
            <w:tcW w:w="8240" w:type="dxa"/>
            <w:vAlign w:val="bottom"/>
            <w:shd w:val="clear" w:color="auto" w:fill="CCFFCC"/>
          </w:tcPr>
          <w:p>
            <w:pPr>
              <w:ind w:left="260"/>
              <w:spacing w:after="0"/>
              <w:rPr>
                <w:sz w:val="20"/>
                <w:szCs w:val="20"/>
                <w:color w:val="auto"/>
              </w:rPr>
            </w:pPr>
            <w:r>
              <w:rPr>
                <w:rFonts w:ascii="Arial" w:cs="Arial" w:eastAsia="Arial" w:hAnsi="Arial"/>
                <w:sz w:val="14"/>
                <w:szCs w:val="14"/>
                <w:color w:val="auto"/>
              </w:rPr>
              <w:t>Other litigation and consulting costs</w:t>
            </w:r>
          </w:p>
        </w:tc>
        <w:tc>
          <w:tcPr>
            <w:tcW w:w="180" w:type="dxa"/>
            <w:vAlign w:val="bottom"/>
            <w:shd w:val="clear" w:color="auto" w:fill="CCFFCC"/>
          </w:tcPr>
          <w:p>
            <w:pPr>
              <w:spacing w:after="0"/>
              <w:rPr>
                <w:sz w:val="19"/>
                <w:szCs w:val="19"/>
                <w:color w:val="auto"/>
              </w:rPr>
            </w:pPr>
          </w:p>
        </w:tc>
        <w:tc>
          <w:tcPr>
            <w:tcW w:w="9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4,708</w:t>
            </w:r>
          </w:p>
        </w:tc>
        <w:tc>
          <w:tcPr>
            <w:tcW w:w="320" w:type="dxa"/>
            <w:vAlign w:val="bottom"/>
            <w:shd w:val="clear" w:color="auto" w:fill="CCFFCC"/>
          </w:tcPr>
          <w:p>
            <w:pPr>
              <w:jc w:val="right"/>
              <w:ind w:right="142"/>
              <w:spacing w:after="0"/>
              <w:rPr>
                <w:sz w:val="20"/>
                <w:szCs w:val="20"/>
                <w:color w:val="auto"/>
              </w:rPr>
            </w:pPr>
            <w:r>
              <w:rPr>
                <w:rFonts w:ascii="Arial" w:cs="Arial" w:eastAsia="Arial" w:hAnsi="Arial"/>
                <w:sz w:val="9"/>
                <w:szCs w:val="9"/>
                <w:color w:val="auto"/>
                <w:w w:val="90"/>
              </w:rPr>
              <w:t>(2)</w:t>
            </w:r>
          </w:p>
        </w:tc>
        <w:tc>
          <w:tcPr>
            <w:tcW w:w="260" w:type="dxa"/>
            <w:vAlign w:val="bottom"/>
            <w:shd w:val="clear" w:color="auto" w:fill="CCFFCC"/>
          </w:tcPr>
          <w:p>
            <w:pPr>
              <w:spacing w:after="0"/>
              <w:rPr>
                <w:sz w:val="19"/>
                <w:szCs w:val="19"/>
                <w:color w:val="auto"/>
              </w:rPr>
            </w:pPr>
          </w:p>
        </w:tc>
        <w:tc>
          <w:tcPr>
            <w:tcW w:w="8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2,417</w:t>
            </w:r>
          </w:p>
        </w:tc>
        <w:tc>
          <w:tcPr>
            <w:tcW w:w="320" w:type="dxa"/>
            <w:vAlign w:val="bottom"/>
            <w:shd w:val="clear" w:color="auto" w:fill="CCFFCC"/>
          </w:tcPr>
          <w:p>
            <w:pPr>
              <w:jc w:val="right"/>
              <w:ind w:right="155"/>
              <w:spacing w:after="0"/>
              <w:rPr>
                <w:sz w:val="20"/>
                <w:szCs w:val="20"/>
                <w:color w:val="auto"/>
              </w:rPr>
            </w:pPr>
            <w:r>
              <w:rPr>
                <w:rFonts w:ascii="Arial" w:cs="Arial" w:eastAsia="Arial" w:hAnsi="Arial"/>
                <w:sz w:val="9"/>
                <w:szCs w:val="9"/>
                <w:color w:val="auto"/>
                <w:w w:val="90"/>
              </w:rPr>
              <w:t>(3)</w:t>
            </w:r>
          </w:p>
        </w:tc>
      </w:tr>
      <w:tr>
        <w:trPr>
          <w:trHeight w:val="264"/>
        </w:trPr>
        <w:tc>
          <w:tcPr>
            <w:tcW w:w="8240" w:type="dxa"/>
            <w:vAlign w:val="bottom"/>
          </w:tcPr>
          <w:p>
            <w:pPr>
              <w:ind w:left="260"/>
              <w:spacing w:after="0"/>
              <w:rPr>
                <w:sz w:val="20"/>
                <w:szCs w:val="20"/>
                <w:color w:val="auto"/>
              </w:rPr>
            </w:pPr>
            <w:r>
              <w:rPr>
                <w:rFonts w:ascii="Arial" w:cs="Arial" w:eastAsia="Arial" w:hAnsi="Arial"/>
                <w:sz w:val="14"/>
                <w:szCs w:val="14"/>
                <w:color w:val="auto"/>
              </w:rPr>
              <w:t>Provision for income taxes</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352</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593</w:t>
            </w:r>
          </w:p>
        </w:tc>
        <w:tc>
          <w:tcPr>
            <w:tcW w:w="320" w:type="dxa"/>
            <w:vAlign w:val="bottom"/>
          </w:tcPr>
          <w:p>
            <w:pPr>
              <w:spacing w:after="0"/>
              <w:rPr>
                <w:sz w:val="22"/>
                <w:szCs w:val="22"/>
                <w:color w:val="auto"/>
              </w:rPr>
            </w:pPr>
          </w:p>
        </w:tc>
      </w:tr>
      <w:tr>
        <w:trPr>
          <w:trHeight w:val="276"/>
        </w:trPr>
        <w:tc>
          <w:tcPr>
            <w:tcW w:w="8240" w:type="dxa"/>
            <w:vAlign w:val="bottom"/>
            <w:shd w:val="clear" w:color="auto" w:fill="CCFFCC"/>
          </w:tcPr>
          <w:p>
            <w:pPr>
              <w:ind w:left="260"/>
              <w:spacing w:after="0"/>
              <w:rPr>
                <w:sz w:val="20"/>
                <w:szCs w:val="20"/>
                <w:color w:val="auto"/>
              </w:rPr>
            </w:pPr>
            <w:r>
              <w:rPr>
                <w:rFonts w:ascii="Arial" w:cs="Arial" w:eastAsia="Arial" w:hAnsi="Arial"/>
                <w:sz w:val="14"/>
                <w:szCs w:val="14"/>
                <w:color w:val="auto"/>
              </w:rPr>
              <w:t>Acquisition costs</w:t>
            </w:r>
          </w:p>
        </w:tc>
        <w:tc>
          <w:tcPr>
            <w:tcW w:w="180" w:type="dxa"/>
            <w:vAlign w:val="bottom"/>
            <w:shd w:val="clear" w:color="auto" w:fill="CCFFCC"/>
          </w:tcPr>
          <w:p>
            <w:pPr>
              <w:spacing w:after="0"/>
              <w:rPr>
                <w:sz w:val="24"/>
                <w:szCs w:val="24"/>
                <w:color w:val="auto"/>
              </w:rPr>
            </w:pPr>
          </w:p>
        </w:tc>
        <w:tc>
          <w:tcPr>
            <w:tcW w:w="9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648</w:t>
            </w:r>
          </w:p>
        </w:tc>
        <w:tc>
          <w:tcPr>
            <w:tcW w:w="320" w:type="dxa"/>
            <w:vAlign w:val="bottom"/>
            <w:shd w:val="clear" w:color="auto" w:fill="CCFFCC"/>
          </w:tcPr>
          <w:p>
            <w:pPr>
              <w:spacing w:after="0"/>
              <w:rPr>
                <w:sz w:val="24"/>
                <w:szCs w:val="24"/>
                <w:color w:val="auto"/>
              </w:rPr>
            </w:pPr>
          </w:p>
        </w:tc>
      </w:tr>
      <w:tr>
        <w:trPr>
          <w:trHeight w:val="264"/>
        </w:trPr>
        <w:tc>
          <w:tcPr>
            <w:tcW w:w="8240" w:type="dxa"/>
            <w:vAlign w:val="bottom"/>
          </w:tcPr>
          <w:p>
            <w:pPr>
              <w:ind w:left="260"/>
              <w:spacing w:after="0"/>
              <w:rPr>
                <w:sz w:val="20"/>
                <w:szCs w:val="20"/>
                <w:color w:val="auto"/>
              </w:rPr>
            </w:pPr>
            <w:r>
              <w:rPr>
                <w:rFonts w:ascii="Arial" w:cs="Arial" w:eastAsia="Arial" w:hAnsi="Arial"/>
                <w:sz w:val="14"/>
                <w:szCs w:val="14"/>
                <w:color w:val="auto"/>
              </w:rPr>
              <w:t>Interest income (expense)</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2,791</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667</w:t>
            </w:r>
          </w:p>
        </w:tc>
        <w:tc>
          <w:tcPr>
            <w:tcW w:w="320" w:type="dxa"/>
            <w:vAlign w:val="bottom"/>
          </w:tcPr>
          <w:p>
            <w:pPr>
              <w:spacing w:after="0"/>
              <w:rPr>
                <w:sz w:val="22"/>
                <w:szCs w:val="22"/>
                <w:color w:val="auto"/>
              </w:rPr>
            </w:pPr>
          </w:p>
        </w:tc>
      </w:tr>
      <w:tr>
        <w:trPr>
          <w:trHeight w:val="270"/>
        </w:trPr>
        <w:tc>
          <w:tcPr>
            <w:tcW w:w="8240" w:type="dxa"/>
            <w:vAlign w:val="bottom"/>
            <w:shd w:val="clear" w:color="auto" w:fill="CCFFCC"/>
          </w:tcPr>
          <w:p>
            <w:pPr>
              <w:ind w:left="260"/>
              <w:spacing w:after="0"/>
              <w:rPr>
                <w:sz w:val="20"/>
                <w:szCs w:val="20"/>
                <w:color w:val="auto"/>
              </w:rPr>
            </w:pPr>
            <w:r>
              <w:rPr>
                <w:rFonts w:ascii="Arial" w:cs="Arial" w:eastAsia="Arial" w:hAnsi="Arial"/>
                <w:sz w:val="14"/>
                <w:szCs w:val="14"/>
                <w:color w:val="auto"/>
              </w:rPr>
              <w:t>Other expense (income), net</w:t>
            </w:r>
          </w:p>
        </w:tc>
        <w:tc>
          <w:tcPr>
            <w:tcW w:w="180" w:type="dxa"/>
            <w:vAlign w:val="bottom"/>
            <w:tcBorders>
              <w:bottom w:val="single" w:sz="8" w:color="auto"/>
            </w:tcBorders>
            <w:shd w:val="clear" w:color="auto" w:fill="CCFFCC"/>
          </w:tcPr>
          <w:p>
            <w:pPr>
              <w:spacing w:after="0"/>
              <w:rPr>
                <w:sz w:val="23"/>
                <w:szCs w:val="23"/>
                <w:color w:val="auto"/>
              </w:rPr>
            </w:pPr>
          </w:p>
        </w:tc>
        <w:tc>
          <w:tcPr>
            <w:tcW w:w="94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667</w:t>
            </w:r>
          </w:p>
        </w:tc>
        <w:tc>
          <w:tcPr>
            <w:tcW w:w="320" w:type="dxa"/>
            <w:vAlign w:val="bottom"/>
            <w:shd w:val="clear" w:color="auto" w:fill="CCFFCC"/>
          </w:tcPr>
          <w:p>
            <w:pPr>
              <w:spacing w:after="0"/>
              <w:rPr>
                <w:sz w:val="23"/>
                <w:szCs w:val="23"/>
                <w:color w:val="auto"/>
              </w:rPr>
            </w:pPr>
          </w:p>
        </w:tc>
        <w:tc>
          <w:tcPr>
            <w:tcW w:w="260" w:type="dxa"/>
            <w:vAlign w:val="bottom"/>
            <w:tcBorders>
              <w:bottom w:val="single" w:sz="8" w:color="auto"/>
            </w:tcBorders>
            <w:shd w:val="clear" w:color="auto" w:fill="CCFFCC"/>
          </w:tcPr>
          <w:p>
            <w:pPr>
              <w:spacing w:after="0"/>
              <w:rPr>
                <w:sz w:val="23"/>
                <w:szCs w:val="23"/>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(733)</w:t>
            </w:r>
          </w:p>
        </w:tc>
        <w:tc>
          <w:tcPr>
            <w:tcW w:w="320" w:type="dxa"/>
            <w:vAlign w:val="bottom"/>
            <w:shd w:val="clear" w:color="auto" w:fill="CCFFCC"/>
          </w:tcPr>
          <w:p>
            <w:pPr>
              <w:spacing w:after="0"/>
              <w:rPr>
                <w:sz w:val="23"/>
                <w:szCs w:val="23"/>
                <w:color w:val="auto"/>
              </w:rPr>
            </w:pPr>
          </w:p>
        </w:tc>
      </w:tr>
      <w:tr>
        <w:trPr>
          <w:trHeight w:val="283"/>
        </w:trPr>
        <w:tc>
          <w:tcPr>
            <w:tcW w:w="8240" w:type="dxa"/>
            <w:vAlign w:val="bottom"/>
          </w:tcPr>
          <w:p>
            <w:pPr>
              <w:ind w:left="20"/>
              <w:spacing w:after="0"/>
              <w:rPr>
                <w:sz w:val="20"/>
                <w:szCs w:val="20"/>
                <w:color w:val="auto"/>
              </w:rPr>
            </w:pPr>
            <w:r>
              <w:rPr>
                <w:rFonts w:ascii="Arial" w:cs="Arial" w:eastAsia="Arial" w:hAnsi="Arial"/>
                <w:sz w:val="14"/>
                <w:szCs w:val="14"/>
                <w:color w:val="auto"/>
              </w:rPr>
              <w:t>Adjusted EBITDA (loss)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(4,635)</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(3,226)</w:t>
            </w:r>
          </w:p>
        </w:tc>
        <w:tc>
          <w:tcPr>
            <w:tcW w:w="320" w:type="dxa"/>
            <w:vAlign w:val="bottom"/>
          </w:tcPr>
          <w:p>
            <w:pPr>
              <w:spacing w:after="0"/>
              <w:rPr>
                <w:sz w:val="24"/>
                <w:szCs w:val="24"/>
                <w:color w:val="auto"/>
              </w:rPr>
            </w:pPr>
          </w:p>
        </w:tc>
      </w:tr>
      <w:tr>
        <w:trPr>
          <w:trHeight w:val="277"/>
        </w:trPr>
        <w:tc>
          <w:tcPr>
            <w:tcW w:w="8240" w:type="dxa"/>
            <w:vAlign w:val="bottom"/>
            <w:tcBorders>
              <w:top w:val="single" w:sz="8" w:color="CCFFCC"/>
            </w:tcBorders>
            <w:shd w:val="clear" w:color="auto" w:fill="CCFFCC"/>
          </w:tcPr>
          <w:p>
            <w:pPr>
              <w:spacing w:after="0"/>
              <w:rPr>
                <w:sz w:val="24"/>
                <w:szCs w:val="24"/>
                <w:color w:val="auto"/>
              </w:rPr>
            </w:pPr>
          </w:p>
        </w:tc>
        <w:tc>
          <w:tcPr>
            <w:tcW w:w="180" w:type="dxa"/>
            <w:vAlign w:val="bottom"/>
            <w:tcBorders>
              <w:top w:val="single" w:sz="8" w:color="auto"/>
            </w:tcBorders>
            <w:shd w:val="clear" w:color="auto" w:fill="CCFFCC"/>
          </w:tcPr>
          <w:p>
            <w:pPr>
              <w:spacing w:after="0"/>
              <w:rPr>
                <w:sz w:val="24"/>
                <w:szCs w:val="24"/>
                <w:color w:val="auto"/>
              </w:rPr>
            </w:pPr>
          </w:p>
        </w:tc>
        <w:tc>
          <w:tcPr>
            <w:tcW w:w="940" w:type="dxa"/>
            <w:vAlign w:val="bottom"/>
            <w:tcBorders>
              <w:top w:val="single" w:sz="8" w:color="auto"/>
            </w:tcBorders>
            <w:shd w:val="clear" w:color="auto" w:fill="CCFFCC"/>
          </w:tcPr>
          <w:p>
            <w:pPr>
              <w:spacing w:after="0"/>
              <w:rPr>
                <w:sz w:val="24"/>
                <w:szCs w:val="24"/>
                <w:color w:val="auto"/>
              </w:rPr>
            </w:pPr>
          </w:p>
        </w:tc>
        <w:tc>
          <w:tcPr>
            <w:tcW w:w="320" w:type="dxa"/>
            <w:vAlign w:val="bottom"/>
            <w:tcBorders>
              <w:top w:val="single" w:sz="8" w:color="CCFFCC"/>
            </w:tcBorders>
            <w:shd w:val="clear" w:color="auto" w:fill="CCFFCC"/>
          </w:tcPr>
          <w:p>
            <w:pPr>
              <w:spacing w:after="0"/>
              <w:rPr>
                <w:sz w:val="24"/>
                <w:szCs w:val="24"/>
                <w:color w:val="auto"/>
              </w:rPr>
            </w:pPr>
          </w:p>
        </w:tc>
        <w:tc>
          <w:tcPr>
            <w:tcW w:w="260" w:type="dxa"/>
            <w:vAlign w:val="bottom"/>
            <w:tcBorders>
              <w:top w:val="single" w:sz="8" w:color="auto"/>
            </w:tcBorders>
            <w:shd w:val="clear" w:color="auto" w:fill="CCFFCC"/>
          </w:tcPr>
          <w:p>
            <w:pPr>
              <w:spacing w:after="0"/>
              <w:rPr>
                <w:sz w:val="24"/>
                <w:szCs w:val="24"/>
                <w:color w:val="auto"/>
              </w:rPr>
            </w:pPr>
          </w:p>
        </w:tc>
        <w:tc>
          <w:tcPr>
            <w:tcW w:w="840" w:type="dxa"/>
            <w:vAlign w:val="bottom"/>
            <w:tcBorders>
              <w:top w:val="single" w:sz="8" w:color="auto"/>
            </w:tcBorders>
            <w:shd w:val="clear" w:color="auto" w:fill="CCFFCC"/>
          </w:tcPr>
          <w:p>
            <w:pPr>
              <w:spacing w:after="0"/>
              <w:rPr>
                <w:sz w:val="24"/>
                <w:szCs w:val="24"/>
                <w:color w:val="auto"/>
              </w:rPr>
            </w:pPr>
          </w:p>
        </w:tc>
        <w:tc>
          <w:tcPr>
            <w:tcW w:w="320" w:type="dxa"/>
            <w:vAlign w:val="bottom"/>
            <w:tcBorders>
              <w:top w:val="single" w:sz="8" w:color="CCFFCC"/>
            </w:tcBorders>
            <w:shd w:val="clear" w:color="auto" w:fill="CCFFCC"/>
          </w:tcPr>
          <w:p>
            <w:pPr>
              <w:spacing w:after="0"/>
              <w:rPr>
                <w:sz w:val="24"/>
                <w:szCs w:val="24"/>
                <w:color w:val="auto"/>
              </w:rPr>
            </w:pPr>
          </w:p>
        </w:tc>
      </w:tr>
    </w:tbl>
    <w:p>
      <w:pPr>
        <w:spacing w:after="0" w:line="76" w:lineRule="exact"/>
        <w:rPr>
          <w:sz w:val="20"/>
          <w:szCs w:val="20"/>
          <w:color w:val="auto"/>
        </w:rPr>
      </w:pPr>
    </w:p>
    <w:p>
      <w:pPr>
        <w:ind w:left="300" w:hanging="204"/>
        <w:spacing w:after="0"/>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severance costs and other compensation related costs of $3.2 million and $0.3 million for the three months ended March 31, 2020 and 2019, respectively.</w:t>
      </w:r>
    </w:p>
    <w:p>
      <w:pPr>
        <w:spacing w:after="0" w:line="41" w:lineRule="exact"/>
        <w:rPr>
          <w:rFonts w:ascii="Arial" w:cs="Arial" w:eastAsia="Arial" w:hAnsi="Arial"/>
          <w:sz w:val="14"/>
          <w:szCs w:val="14"/>
          <w:color w:val="auto"/>
        </w:rPr>
      </w:pPr>
    </w:p>
    <w:p>
      <w:pPr>
        <w:ind w:left="100" w:right="800" w:hanging="4"/>
        <w:spacing w:after="0" w:line="253" w:lineRule="auto"/>
        <w:tabs>
          <w:tab w:leader="none" w:pos="304"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sales tax liability of $2.3 million, litigation costs of $1.2 million, employee benefit cost of $0.8 million, and consulting costs of $0.4 million for the three months ended March 31, 2020.</w:t>
      </w:r>
    </w:p>
    <w:p>
      <w:pPr>
        <w:spacing w:after="0" w:line="79" w:lineRule="exact"/>
        <w:rPr>
          <w:rFonts w:ascii="Arial" w:cs="Arial" w:eastAsia="Arial" w:hAnsi="Arial"/>
          <w:sz w:val="14"/>
          <w:szCs w:val="14"/>
          <w:color w:val="auto"/>
        </w:rPr>
      </w:pPr>
    </w:p>
    <w:p>
      <w:pPr>
        <w:ind w:left="300" w:hanging="204"/>
        <w:spacing w:after="0"/>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litigation costs of $1.1 million, consulting costs of $1.3 million for the 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-372745</wp:posOffset>
            </wp:positionV>
            <wp:extent cx="705485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4850" cy="222885"/>
                    </a:xfrm>
                    <a:prstGeom prst="rect">
                      <a:avLst/>
                    </a:prstGeom>
                    <a:noFill/>
                  </pic:spPr>
                </pic:pic>
              </a:graphicData>
            </a:graphic>
          </wp:anchor>
        </w:drawing>
      </w:r>
    </w:p>
    <w:p>
      <w:pPr>
        <w:spacing w:after="0" w:line="323" w:lineRule="exact"/>
        <w:rPr>
          <w:sz w:val="20"/>
          <w:szCs w:val="20"/>
          <w:color w:val="auto"/>
        </w:rPr>
      </w:pPr>
    </w:p>
    <w:p>
      <w:pPr>
        <w:ind w:left="80" w:firstLine="648"/>
        <w:spacing w:after="0" w:line="258" w:lineRule="auto"/>
        <w:rPr>
          <w:sz w:val="20"/>
          <w:szCs w:val="20"/>
          <w:color w:val="auto"/>
        </w:rPr>
      </w:pPr>
      <w:r>
        <w:rPr>
          <w:rFonts w:ascii="Arial" w:cs="Arial" w:eastAsia="Arial" w:hAnsi="Arial"/>
          <w:sz w:val="18"/>
          <w:szCs w:val="18"/>
          <w:color w:val="auto"/>
        </w:rPr>
        <w:t>Our use of adjusted operating income has limitations as an analytical tool, and you should not consider it in isolation or as a substitute for analysis of our results as reported under GAAP. Some of these limitations are:</w:t>
      </w:r>
    </w:p>
    <w:p>
      <w:pPr>
        <w:spacing w:after="0" w:line="1" w:lineRule="exact"/>
        <w:rPr>
          <w:sz w:val="20"/>
          <w:szCs w:val="20"/>
          <w:color w:val="auto"/>
        </w:rPr>
      </w:pPr>
    </w:p>
    <w:p>
      <w:pPr>
        <w:ind w:left="1140" w:hanging="322"/>
        <w:spacing w:after="0" w:line="265" w:lineRule="auto"/>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although amortization is a non-cash charge, the assets being amortized may have to be replaced in the future, and adjusted operating income does not reflect cash capital expenditure requirements for such replacements or for new capital expenditure requirements;</w:t>
      </w: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acquisition costs;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restructuring costs;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557" w:right="339" w:bottom="1440" w:gutter="0" w:footer="0" w:header="0"/>
        </w:sectPr>
      </w:pPr>
    </w:p>
    <w:bookmarkStart w:id="41" w:name="page42"/>
    <w:bookmarkEnd w:id="41"/>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other costs;</w:t>
      </w:r>
    </w:p>
    <w:p>
      <w:pPr>
        <w:spacing w:after="0" w:line="23" w:lineRule="exact"/>
        <w:rPr>
          <w:rFonts w:ascii="Arial" w:cs="Arial" w:eastAsia="Arial" w:hAnsi="Arial"/>
          <w:sz w:val="18"/>
          <w:szCs w:val="18"/>
          <w:color w:val="auto"/>
        </w:rPr>
      </w:pPr>
    </w:p>
    <w:p>
      <w:pPr>
        <w:ind w:left="1140" w:right="100" w:hanging="322"/>
        <w:spacing w:after="0" w:line="260"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operating income differently, which reduces its usefulness as a comparative measure.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these limitations, you should consider adjusted operating income alongside other financial performance measures, including various pre-tax GAAP loss and our other GAAP results. The following table presents a reconciliation of adjusted operating income for each of the periods indicated (amounts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6"/>
                <w:szCs w:val="16"/>
                <w:color w:val="auto"/>
              </w:rPr>
            </w:pPr>
          </w:p>
        </w:tc>
      </w:tr>
      <w:tr>
        <w:trPr>
          <w:trHeight w:val="263"/>
        </w:trPr>
        <w:tc>
          <w:tcPr>
            <w:tcW w:w="8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2"/>
                <w:szCs w:val="22"/>
                <w:color w:val="auto"/>
              </w:rPr>
            </w:pPr>
          </w:p>
        </w:tc>
      </w:tr>
      <w:tr>
        <w:trPr>
          <w:trHeight w:val="264"/>
        </w:trPr>
        <w:tc>
          <w:tcPr>
            <w:tcW w:w="8100" w:type="dxa"/>
            <w:vAlign w:val="bottom"/>
          </w:tcPr>
          <w:p>
            <w:pPr>
              <w:ind w:left="40"/>
              <w:spacing w:after="0"/>
              <w:rPr>
                <w:sz w:val="20"/>
                <w:szCs w:val="20"/>
                <w:color w:val="auto"/>
              </w:rPr>
            </w:pPr>
            <w:r>
              <w:rPr>
                <w:rFonts w:ascii="Arial" w:cs="Arial" w:eastAsia="Arial" w:hAnsi="Arial"/>
                <w:sz w:val="14"/>
                <w:szCs w:val="14"/>
                <w:b w:val="1"/>
                <w:bCs w:val="1"/>
                <w:color w:val="auto"/>
              </w:rPr>
              <w:t>Reconciliation of Adjusted Operating Loss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76"/>
        </w:trPr>
        <w:tc>
          <w:tcPr>
            <w:tcW w:w="8100" w:type="dxa"/>
            <w:vAlign w:val="bottom"/>
            <w:shd w:val="clear" w:color="auto" w:fill="CCFFCC"/>
          </w:tcPr>
          <w:p>
            <w:pPr>
              <w:ind w:left="40"/>
              <w:spacing w:after="0"/>
              <w:rPr>
                <w:sz w:val="20"/>
                <w:szCs w:val="20"/>
                <w:color w:val="auto"/>
              </w:rPr>
            </w:pPr>
            <w:r>
              <w:rPr>
                <w:rFonts w:ascii="Arial" w:cs="Arial" w:eastAsia="Arial" w:hAnsi="Arial"/>
                <w:sz w:val="14"/>
                <w:szCs w:val="14"/>
                <w:color w:val="auto"/>
              </w:rPr>
              <w:t>Loss before provision for income taxes</w:t>
            </w:r>
          </w:p>
        </w:tc>
        <w:tc>
          <w:tcPr>
            <w:tcW w:w="280" w:type="dxa"/>
            <w:vAlign w:val="bottom"/>
            <w:shd w:val="clear" w:color="auto" w:fill="CCFFCC"/>
          </w:tcPr>
          <w:p>
            <w:pPr>
              <w:ind w:lef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(36,649)</w:t>
            </w:r>
          </w:p>
        </w:tc>
        <w:tc>
          <w:tcPr>
            <w:tcW w:w="620" w:type="dxa"/>
            <w:vAlign w:val="bottom"/>
            <w:gridSpan w:val="2"/>
            <w:shd w:val="clear" w:color="auto" w:fill="CCFFCC"/>
          </w:tcPr>
          <w:p>
            <w:pPr>
              <w:ind w:left="3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(18,297)</w:t>
            </w:r>
          </w:p>
        </w:tc>
        <w:tc>
          <w:tcPr>
            <w:tcW w:w="320" w:type="dxa"/>
            <w:vAlign w:val="bottom"/>
            <w:shd w:val="clear" w:color="auto" w:fill="CCFFCC"/>
          </w:tcPr>
          <w:p>
            <w:pPr>
              <w:spacing w:after="0"/>
              <w:rPr>
                <w:sz w:val="24"/>
                <w:szCs w:val="24"/>
                <w:color w:val="auto"/>
              </w:rPr>
            </w:pP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Amortization of purchased intangibles</w:t>
            </w:r>
          </w:p>
        </w:tc>
        <w:tc>
          <w:tcPr>
            <w:tcW w:w="280" w:type="dxa"/>
            <w:vAlign w:val="bottom"/>
          </w:tcPr>
          <w:p>
            <w:pPr>
              <w:spacing w:after="0"/>
              <w:rPr>
                <w:sz w:val="22"/>
                <w:szCs w:val="22"/>
                <w:color w:val="auto"/>
              </w:rPr>
            </w:pPr>
          </w:p>
        </w:tc>
        <w:tc>
          <w:tcPr>
            <w:tcW w:w="980" w:type="dxa"/>
            <w:vAlign w:val="bottom"/>
          </w:tcPr>
          <w:p>
            <w:pPr>
              <w:jc w:val="right"/>
              <w:ind w:right="47"/>
              <w:spacing w:after="0"/>
              <w:rPr>
                <w:sz w:val="20"/>
                <w:szCs w:val="20"/>
                <w:color w:val="auto"/>
              </w:rPr>
            </w:pPr>
            <w:r>
              <w:rPr>
                <w:rFonts w:ascii="Arial" w:cs="Arial" w:eastAsia="Arial" w:hAnsi="Arial"/>
                <w:sz w:val="14"/>
                <w:szCs w:val="14"/>
                <w:color w:val="auto"/>
              </w:rPr>
              <w:t>689</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7"/>
              <w:spacing w:after="0"/>
              <w:rPr>
                <w:sz w:val="20"/>
                <w:szCs w:val="20"/>
                <w:color w:val="auto"/>
              </w:rPr>
            </w:pPr>
            <w:r>
              <w:rPr>
                <w:rFonts w:ascii="Arial" w:cs="Arial" w:eastAsia="Arial" w:hAnsi="Arial"/>
                <w:sz w:val="14"/>
                <w:szCs w:val="14"/>
                <w:color w:val="auto"/>
              </w:rPr>
              <w:t>746</w:t>
            </w:r>
          </w:p>
        </w:tc>
        <w:tc>
          <w:tcPr>
            <w:tcW w:w="320" w:type="dxa"/>
            <w:vAlign w:val="bottom"/>
          </w:tcPr>
          <w:p>
            <w:pPr>
              <w:spacing w:after="0"/>
              <w:rPr>
                <w:sz w:val="22"/>
                <w:szCs w:val="22"/>
                <w:color w:val="auto"/>
              </w:rPr>
            </w:pPr>
          </w:p>
        </w:tc>
      </w:tr>
      <w:tr>
        <w:trPr>
          <w:trHeight w:val="276"/>
        </w:trPr>
        <w:tc>
          <w:tcPr>
            <w:tcW w:w="81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280" w:type="dxa"/>
            <w:vAlign w:val="bottom"/>
            <w:shd w:val="clear" w:color="auto" w:fill="CCFFCC"/>
          </w:tcPr>
          <w:p>
            <w:pPr>
              <w:spacing w:after="0"/>
              <w:rPr>
                <w:sz w:val="24"/>
                <w:szCs w:val="24"/>
                <w:color w:val="auto"/>
              </w:rPr>
            </w:pPr>
          </w:p>
        </w:tc>
        <w:tc>
          <w:tcPr>
            <w:tcW w:w="980" w:type="dxa"/>
            <w:vAlign w:val="bottom"/>
            <w:shd w:val="clear" w:color="auto" w:fill="CCFFCC"/>
          </w:tcPr>
          <w:p>
            <w:pPr>
              <w:jc w:val="right"/>
              <w:ind w:right="47"/>
              <w:spacing w:after="0"/>
              <w:rPr>
                <w:sz w:val="20"/>
                <w:szCs w:val="20"/>
                <w:color w:val="auto"/>
              </w:rPr>
            </w:pPr>
            <w:r>
              <w:rPr>
                <w:rFonts w:ascii="Arial" w:cs="Arial" w:eastAsia="Arial" w:hAnsi="Arial"/>
                <w:sz w:val="14"/>
                <w:szCs w:val="14"/>
                <w:color w:val="auto"/>
              </w:rPr>
              <w:t>14,695</w:t>
            </w:r>
          </w:p>
        </w:tc>
        <w:tc>
          <w:tcPr>
            <w:tcW w:w="34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940" w:type="dxa"/>
            <w:vAlign w:val="bottom"/>
            <w:shd w:val="clear" w:color="auto" w:fill="CCFFCC"/>
          </w:tcPr>
          <w:p>
            <w:pPr>
              <w:jc w:val="right"/>
              <w:ind w:right="47"/>
              <w:spacing w:after="0"/>
              <w:rPr>
                <w:sz w:val="20"/>
                <w:szCs w:val="20"/>
                <w:color w:val="auto"/>
              </w:rPr>
            </w:pPr>
            <w:r>
              <w:rPr>
                <w:rFonts w:ascii="Arial" w:cs="Arial" w:eastAsia="Arial" w:hAnsi="Arial"/>
                <w:sz w:val="14"/>
                <w:szCs w:val="14"/>
                <w:color w:val="auto"/>
              </w:rPr>
              <w:t>7,166</w:t>
            </w:r>
          </w:p>
        </w:tc>
        <w:tc>
          <w:tcPr>
            <w:tcW w:w="320" w:type="dxa"/>
            <w:vAlign w:val="bottom"/>
            <w:shd w:val="clear" w:color="auto" w:fill="CCFFCC"/>
          </w:tcPr>
          <w:p>
            <w:pPr>
              <w:spacing w:after="0"/>
              <w:rPr>
                <w:sz w:val="24"/>
                <w:szCs w:val="24"/>
                <w:color w:val="auto"/>
              </w:rPr>
            </w:pPr>
          </w:p>
        </w:tc>
      </w:tr>
      <w:tr>
        <w:trPr>
          <w:trHeight w:val="210"/>
        </w:trPr>
        <w:tc>
          <w:tcPr>
            <w:tcW w:w="8100" w:type="dxa"/>
            <w:vAlign w:val="bottom"/>
          </w:tcPr>
          <w:p>
            <w:pPr>
              <w:ind w:left="280"/>
              <w:spacing w:after="0"/>
              <w:rPr>
                <w:sz w:val="20"/>
                <w:szCs w:val="20"/>
                <w:color w:val="auto"/>
              </w:rPr>
            </w:pPr>
            <w:r>
              <w:rPr>
                <w:rFonts w:ascii="Arial" w:cs="Arial" w:eastAsia="Arial" w:hAnsi="Arial"/>
                <w:sz w:val="14"/>
                <w:szCs w:val="14"/>
                <w:color w:val="auto"/>
              </w:rPr>
              <w:t>Restructuring costs</w:t>
            </w:r>
          </w:p>
        </w:tc>
        <w:tc>
          <w:tcPr>
            <w:tcW w:w="280" w:type="dxa"/>
            <w:vAlign w:val="bottom"/>
          </w:tcPr>
          <w:p>
            <w:pPr>
              <w:spacing w:after="0"/>
              <w:rPr>
                <w:sz w:val="18"/>
                <w:szCs w:val="18"/>
                <w:color w:val="auto"/>
              </w:rPr>
            </w:pPr>
          </w:p>
        </w:tc>
        <w:tc>
          <w:tcPr>
            <w:tcW w:w="980" w:type="dxa"/>
            <w:vAlign w:val="bottom"/>
          </w:tcPr>
          <w:p>
            <w:pPr>
              <w:jc w:val="right"/>
              <w:ind w:right="47"/>
              <w:spacing w:after="0"/>
              <w:rPr>
                <w:sz w:val="20"/>
                <w:szCs w:val="20"/>
                <w:color w:val="auto"/>
              </w:rPr>
            </w:pPr>
            <w:r>
              <w:rPr>
                <w:rFonts w:ascii="Arial" w:cs="Arial" w:eastAsia="Arial" w:hAnsi="Arial"/>
                <w:sz w:val="14"/>
                <w:szCs w:val="14"/>
                <w:color w:val="auto"/>
              </w:rPr>
              <w:t>3,190</w:t>
            </w:r>
          </w:p>
        </w:tc>
        <w:tc>
          <w:tcPr>
            <w:tcW w:w="340" w:type="dxa"/>
            <w:vAlign w:val="bottom"/>
          </w:tcPr>
          <w:p>
            <w:pPr>
              <w:jc w:val="right"/>
              <w:ind w:right="139"/>
              <w:spacing w:after="0"/>
              <w:rPr>
                <w:sz w:val="20"/>
                <w:szCs w:val="20"/>
                <w:color w:val="auto"/>
              </w:rPr>
            </w:pPr>
            <w:r>
              <w:rPr>
                <w:rFonts w:ascii="Arial" w:cs="Arial" w:eastAsia="Arial" w:hAnsi="Arial"/>
                <w:sz w:val="9"/>
                <w:szCs w:val="9"/>
                <w:color w:val="auto"/>
              </w:rPr>
              <w:t>(1)</w:t>
            </w:r>
          </w:p>
        </w:tc>
        <w:tc>
          <w:tcPr>
            <w:tcW w:w="280" w:type="dxa"/>
            <w:vAlign w:val="bottom"/>
          </w:tcPr>
          <w:p>
            <w:pPr>
              <w:spacing w:after="0"/>
              <w:rPr>
                <w:sz w:val="18"/>
                <w:szCs w:val="18"/>
                <w:color w:val="auto"/>
              </w:rPr>
            </w:pPr>
          </w:p>
        </w:tc>
        <w:tc>
          <w:tcPr>
            <w:tcW w:w="940" w:type="dxa"/>
            <w:vAlign w:val="bottom"/>
          </w:tcPr>
          <w:p>
            <w:pPr>
              <w:jc w:val="right"/>
              <w:ind w:right="47"/>
              <w:spacing w:after="0"/>
              <w:rPr>
                <w:sz w:val="20"/>
                <w:szCs w:val="20"/>
                <w:color w:val="auto"/>
              </w:rPr>
            </w:pPr>
            <w:r>
              <w:rPr>
                <w:rFonts w:ascii="Arial" w:cs="Arial" w:eastAsia="Arial" w:hAnsi="Arial"/>
                <w:sz w:val="14"/>
                <w:szCs w:val="14"/>
                <w:color w:val="auto"/>
              </w:rPr>
              <w:t>279</w:t>
            </w:r>
          </w:p>
        </w:tc>
        <w:tc>
          <w:tcPr>
            <w:tcW w:w="320" w:type="dxa"/>
            <w:vAlign w:val="bottom"/>
          </w:tcPr>
          <w:p>
            <w:pPr>
              <w:jc w:val="right"/>
              <w:ind w:right="155"/>
              <w:spacing w:after="0"/>
              <w:rPr>
                <w:sz w:val="20"/>
                <w:szCs w:val="20"/>
                <w:color w:val="auto"/>
              </w:rPr>
            </w:pPr>
            <w:r>
              <w:rPr>
                <w:rFonts w:ascii="Arial" w:cs="Arial" w:eastAsia="Arial" w:hAnsi="Arial"/>
                <w:sz w:val="9"/>
                <w:szCs w:val="9"/>
                <w:color w:val="auto"/>
                <w:w w:val="90"/>
              </w:rPr>
              <w:t>(1)</w:t>
            </w:r>
          </w:p>
        </w:tc>
      </w:tr>
      <w:tr>
        <w:trPr>
          <w:trHeight w:val="222"/>
        </w:trPr>
        <w:tc>
          <w:tcPr>
            <w:tcW w:w="81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Other litigation and consulting costs</w:t>
            </w:r>
          </w:p>
        </w:tc>
        <w:tc>
          <w:tcPr>
            <w:tcW w:w="280" w:type="dxa"/>
            <w:vAlign w:val="bottom"/>
            <w:shd w:val="clear" w:color="auto" w:fill="CCFFCC"/>
          </w:tcPr>
          <w:p>
            <w:pPr>
              <w:spacing w:after="0"/>
              <w:rPr>
                <w:sz w:val="19"/>
                <w:szCs w:val="19"/>
                <w:color w:val="auto"/>
              </w:rPr>
            </w:pPr>
          </w:p>
        </w:tc>
        <w:tc>
          <w:tcPr>
            <w:tcW w:w="980" w:type="dxa"/>
            <w:vAlign w:val="bottom"/>
            <w:shd w:val="clear" w:color="auto" w:fill="CCFFCC"/>
          </w:tcPr>
          <w:p>
            <w:pPr>
              <w:jc w:val="right"/>
              <w:ind w:right="47"/>
              <w:spacing w:after="0"/>
              <w:rPr>
                <w:sz w:val="20"/>
                <w:szCs w:val="20"/>
                <w:color w:val="auto"/>
              </w:rPr>
            </w:pPr>
            <w:r>
              <w:rPr>
                <w:rFonts w:ascii="Arial" w:cs="Arial" w:eastAsia="Arial" w:hAnsi="Arial"/>
                <w:sz w:val="14"/>
                <w:szCs w:val="14"/>
                <w:color w:val="auto"/>
              </w:rPr>
              <w:t>4,708</w:t>
            </w:r>
          </w:p>
        </w:tc>
        <w:tc>
          <w:tcPr>
            <w:tcW w:w="340" w:type="dxa"/>
            <w:vAlign w:val="bottom"/>
            <w:shd w:val="clear" w:color="auto" w:fill="CCFFCC"/>
          </w:tcPr>
          <w:p>
            <w:pPr>
              <w:jc w:val="right"/>
              <w:ind w:right="139"/>
              <w:spacing w:after="0"/>
              <w:rPr>
                <w:sz w:val="20"/>
                <w:szCs w:val="20"/>
                <w:color w:val="auto"/>
              </w:rPr>
            </w:pPr>
            <w:r>
              <w:rPr>
                <w:rFonts w:ascii="Arial" w:cs="Arial" w:eastAsia="Arial" w:hAnsi="Arial"/>
                <w:sz w:val="9"/>
                <w:szCs w:val="9"/>
                <w:color w:val="auto"/>
              </w:rPr>
              <w:t>(2)</w:t>
            </w:r>
          </w:p>
        </w:tc>
        <w:tc>
          <w:tcPr>
            <w:tcW w:w="280" w:type="dxa"/>
            <w:vAlign w:val="bottom"/>
            <w:shd w:val="clear" w:color="auto" w:fill="CCFFCC"/>
          </w:tcPr>
          <w:p>
            <w:pPr>
              <w:spacing w:after="0"/>
              <w:rPr>
                <w:sz w:val="19"/>
                <w:szCs w:val="19"/>
                <w:color w:val="auto"/>
              </w:rPr>
            </w:pPr>
          </w:p>
        </w:tc>
        <w:tc>
          <w:tcPr>
            <w:tcW w:w="940" w:type="dxa"/>
            <w:vAlign w:val="bottom"/>
            <w:shd w:val="clear" w:color="auto" w:fill="CCFFCC"/>
          </w:tcPr>
          <w:p>
            <w:pPr>
              <w:jc w:val="right"/>
              <w:ind w:right="47"/>
              <w:spacing w:after="0"/>
              <w:rPr>
                <w:sz w:val="20"/>
                <w:szCs w:val="20"/>
                <w:color w:val="auto"/>
              </w:rPr>
            </w:pPr>
            <w:r>
              <w:rPr>
                <w:rFonts w:ascii="Arial" w:cs="Arial" w:eastAsia="Arial" w:hAnsi="Arial"/>
                <w:sz w:val="14"/>
                <w:szCs w:val="14"/>
                <w:color w:val="auto"/>
              </w:rPr>
              <w:t>2,417</w:t>
            </w:r>
          </w:p>
        </w:tc>
        <w:tc>
          <w:tcPr>
            <w:tcW w:w="320" w:type="dxa"/>
            <w:vAlign w:val="bottom"/>
            <w:shd w:val="clear" w:color="auto" w:fill="CCFFCC"/>
          </w:tcPr>
          <w:p>
            <w:pPr>
              <w:jc w:val="right"/>
              <w:ind w:right="155"/>
              <w:spacing w:after="0"/>
              <w:rPr>
                <w:sz w:val="20"/>
                <w:szCs w:val="20"/>
                <w:color w:val="auto"/>
              </w:rPr>
            </w:pPr>
            <w:r>
              <w:rPr>
                <w:rFonts w:ascii="Arial" w:cs="Arial" w:eastAsia="Arial" w:hAnsi="Arial"/>
                <w:sz w:val="9"/>
                <w:szCs w:val="9"/>
                <w:color w:val="auto"/>
                <w:w w:val="90"/>
              </w:rPr>
              <w:t>(3)</w:t>
            </w: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Contingent earn-out adjustments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(263)</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r>
      <w:tr>
        <w:trPr>
          <w:trHeight w:val="276"/>
        </w:trPr>
        <w:tc>
          <w:tcPr>
            <w:tcW w:w="81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Acquisition costs</w:t>
            </w:r>
          </w:p>
        </w:tc>
        <w:tc>
          <w:tcPr>
            <w:tcW w:w="280" w:type="dxa"/>
            <w:vAlign w:val="bottom"/>
            <w:shd w:val="clear" w:color="auto" w:fill="CCFFCC"/>
          </w:tcPr>
          <w:p>
            <w:pPr>
              <w:spacing w:after="0"/>
              <w:rPr>
                <w:sz w:val="24"/>
                <w:szCs w:val="24"/>
                <w:color w:val="auto"/>
              </w:rPr>
            </w:pPr>
          </w:p>
        </w:tc>
        <w:tc>
          <w:tcPr>
            <w:tcW w:w="980" w:type="dxa"/>
            <w:vAlign w:val="bottom"/>
            <w:shd w:val="clear" w:color="auto" w:fill="CCFFCC"/>
          </w:tcPr>
          <w:p>
            <w:pPr>
              <w:jc w:val="right"/>
              <w:ind w:right="47"/>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940" w:type="dxa"/>
            <w:vAlign w:val="bottom"/>
            <w:shd w:val="clear" w:color="auto" w:fill="CCFFCC"/>
          </w:tcPr>
          <w:p>
            <w:pPr>
              <w:jc w:val="right"/>
              <w:ind w:right="47"/>
              <w:spacing w:after="0"/>
              <w:rPr>
                <w:sz w:val="20"/>
                <w:szCs w:val="20"/>
                <w:color w:val="auto"/>
              </w:rPr>
            </w:pPr>
            <w:r>
              <w:rPr>
                <w:rFonts w:ascii="Arial" w:cs="Arial" w:eastAsia="Arial" w:hAnsi="Arial"/>
                <w:sz w:val="14"/>
                <w:szCs w:val="14"/>
                <w:color w:val="auto"/>
              </w:rPr>
              <w:t>648</w:t>
            </w:r>
          </w:p>
        </w:tc>
        <w:tc>
          <w:tcPr>
            <w:tcW w:w="320" w:type="dxa"/>
            <w:vAlign w:val="bottom"/>
            <w:shd w:val="clear" w:color="auto" w:fill="CCFFCC"/>
          </w:tcPr>
          <w:p>
            <w:pPr>
              <w:spacing w:after="0"/>
              <w:rPr>
                <w:sz w:val="24"/>
                <w:szCs w:val="24"/>
                <w:color w:val="auto"/>
              </w:rPr>
            </w:pP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Interest income (expense)</w:t>
            </w:r>
          </w:p>
        </w:tc>
        <w:tc>
          <w:tcPr>
            <w:tcW w:w="280" w:type="dxa"/>
            <w:vAlign w:val="bottom"/>
          </w:tcPr>
          <w:p>
            <w:pPr>
              <w:spacing w:after="0"/>
              <w:rPr>
                <w:sz w:val="22"/>
                <w:szCs w:val="22"/>
                <w:color w:val="auto"/>
              </w:rPr>
            </w:pPr>
          </w:p>
        </w:tc>
        <w:tc>
          <w:tcPr>
            <w:tcW w:w="980" w:type="dxa"/>
            <w:vAlign w:val="bottom"/>
          </w:tcPr>
          <w:p>
            <w:pPr>
              <w:jc w:val="right"/>
              <w:ind w:right="47"/>
              <w:spacing w:after="0"/>
              <w:rPr>
                <w:sz w:val="20"/>
                <w:szCs w:val="20"/>
                <w:color w:val="auto"/>
              </w:rPr>
            </w:pPr>
            <w:r>
              <w:rPr>
                <w:rFonts w:ascii="Arial" w:cs="Arial" w:eastAsia="Arial" w:hAnsi="Arial"/>
                <w:sz w:val="14"/>
                <w:szCs w:val="14"/>
                <w:color w:val="auto"/>
              </w:rPr>
              <w:t>2,791</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7"/>
              <w:spacing w:after="0"/>
              <w:rPr>
                <w:sz w:val="20"/>
                <w:szCs w:val="20"/>
                <w:color w:val="auto"/>
              </w:rPr>
            </w:pPr>
            <w:r>
              <w:rPr>
                <w:rFonts w:ascii="Arial" w:cs="Arial" w:eastAsia="Arial" w:hAnsi="Arial"/>
                <w:sz w:val="14"/>
                <w:szCs w:val="14"/>
                <w:color w:val="auto"/>
              </w:rPr>
              <w:t>667</w:t>
            </w:r>
          </w:p>
        </w:tc>
        <w:tc>
          <w:tcPr>
            <w:tcW w:w="320" w:type="dxa"/>
            <w:vAlign w:val="bottom"/>
          </w:tcPr>
          <w:p>
            <w:pPr>
              <w:spacing w:after="0"/>
              <w:rPr>
                <w:sz w:val="22"/>
                <w:szCs w:val="22"/>
                <w:color w:val="auto"/>
              </w:rPr>
            </w:pPr>
          </w:p>
        </w:tc>
      </w:tr>
      <w:tr>
        <w:trPr>
          <w:trHeight w:val="270"/>
        </w:trPr>
        <w:tc>
          <w:tcPr>
            <w:tcW w:w="81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Other expense (income), net</w:t>
            </w:r>
          </w:p>
        </w:tc>
        <w:tc>
          <w:tcPr>
            <w:tcW w:w="280" w:type="dxa"/>
            <w:vAlign w:val="bottom"/>
            <w:tcBorders>
              <w:bottom w:val="single" w:sz="8" w:color="auto"/>
            </w:tcBorders>
            <w:shd w:val="clear" w:color="auto" w:fill="CCFFCC"/>
          </w:tcPr>
          <w:p>
            <w:pPr>
              <w:spacing w:after="0"/>
              <w:rPr>
                <w:sz w:val="23"/>
                <w:szCs w:val="23"/>
                <w:color w:val="auto"/>
              </w:rPr>
            </w:pPr>
          </w:p>
        </w:tc>
        <w:tc>
          <w:tcPr>
            <w:tcW w:w="980" w:type="dxa"/>
            <w:vAlign w:val="bottom"/>
            <w:tcBorders>
              <w:bottom w:val="single" w:sz="8" w:color="auto"/>
            </w:tcBorders>
            <w:shd w:val="clear" w:color="auto" w:fill="CCFFCC"/>
          </w:tcPr>
          <w:p>
            <w:pPr>
              <w:jc w:val="right"/>
              <w:ind w:right="47"/>
              <w:spacing w:after="0"/>
              <w:rPr>
                <w:sz w:val="20"/>
                <w:szCs w:val="20"/>
                <w:color w:val="auto"/>
              </w:rPr>
            </w:pPr>
            <w:r>
              <w:rPr>
                <w:rFonts w:ascii="Arial" w:cs="Arial" w:eastAsia="Arial" w:hAnsi="Arial"/>
                <w:sz w:val="14"/>
                <w:szCs w:val="14"/>
                <w:color w:val="auto"/>
              </w:rPr>
              <w:t>667</w:t>
            </w:r>
          </w:p>
        </w:tc>
        <w:tc>
          <w:tcPr>
            <w:tcW w:w="340" w:type="dxa"/>
            <w:vAlign w:val="bottom"/>
            <w:shd w:val="clear" w:color="auto" w:fill="CCFFCC"/>
          </w:tcPr>
          <w:p>
            <w:pPr>
              <w:spacing w:after="0"/>
              <w:rPr>
                <w:sz w:val="23"/>
                <w:szCs w:val="23"/>
                <w:color w:val="auto"/>
              </w:rPr>
            </w:pPr>
          </w:p>
        </w:tc>
        <w:tc>
          <w:tcPr>
            <w:tcW w:w="280" w:type="dxa"/>
            <w:vAlign w:val="bottom"/>
            <w:tcBorders>
              <w:bottom w:val="single" w:sz="8" w:color="auto"/>
            </w:tcBorders>
            <w:shd w:val="clear" w:color="auto" w:fill="CCFFCC"/>
          </w:tcPr>
          <w:p>
            <w:pPr>
              <w:spacing w:after="0"/>
              <w:rPr>
                <w:sz w:val="23"/>
                <w:szCs w:val="23"/>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(733)</w:t>
            </w:r>
          </w:p>
        </w:tc>
        <w:tc>
          <w:tcPr>
            <w:tcW w:w="320" w:type="dxa"/>
            <w:vAlign w:val="bottom"/>
            <w:shd w:val="clear" w:color="auto" w:fill="CCFFCC"/>
          </w:tcPr>
          <w:p>
            <w:pPr>
              <w:spacing w:after="0"/>
              <w:rPr>
                <w:sz w:val="23"/>
                <w:szCs w:val="23"/>
                <w:color w:val="auto"/>
              </w:rPr>
            </w:pPr>
          </w:p>
        </w:tc>
      </w:tr>
      <w:tr>
        <w:trPr>
          <w:trHeight w:val="296"/>
        </w:trPr>
        <w:tc>
          <w:tcPr>
            <w:tcW w:w="8100" w:type="dxa"/>
            <w:vAlign w:val="bottom"/>
          </w:tcPr>
          <w:p>
            <w:pPr>
              <w:ind w:left="280"/>
              <w:spacing w:after="0"/>
              <w:rPr>
                <w:sz w:val="20"/>
                <w:szCs w:val="20"/>
                <w:color w:val="auto"/>
              </w:rPr>
            </w:pPr>
            <w:r>
              <w:rPr>
                <w:rFonts w:ascii="Arial" w:cs="Arial" w:eastAsia="Arial" w:hAnsi="Arial"/>
                <w:sz w:val="14"/>
                <w:szCs w:val="14"/>
                <w:color w:val="auto"/>
              </w:rPr>
              <w:t>Adjusted operating loss</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(10,172)</w:t>
            </w:r>
          </w:p>
        </w:tc>
        <w:tc>
          <w:tcPr>
            <w:tcW w:w="62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(7,107)</w:t>
            </w:r>
          </w:p>
        </w:tc>
        <w:tc>
          <w:tcPr>
            <w:tcW w:w="320" w:type="dxa"/>
            <w:vAlign w:val="bottom"/>
          </w:tcPr>
          <w:p>
            <w:pPr>
              <w:spacing w:after="0"/>
              <w:rPr>
                <w:sz w:val="24"/>
                <w:szCs w:val="24"/>
                <w:color w:val="auto"/>
              </w:rPr>
            </w:pPr>
          </w:p>
        </w:tc>
      </w:tr>
      <w:tr>
        <w:trPr>
          <w:trHeight w:val="304"/>
        </w:trPr>
        <w:tc>
          <w:tcPr>
            <w:tcW w:w="8100" w:type="dxa"/>
            <w:vAlign w:val="bottom"/>
            <w:tcBorders>
              <w:top w:val="single" w:sz="8" w:color="CCFFCC"/>
            </w:tcBorders>
            <w:shd w:val="clear" w:color="auto" w:fill="CCFFCC"/>
          </w:tcPr>
          <w:p>
            <w:pPr>
              <w:spacing w:after="0"/>
              <w:rPr>
                <w:sz w:val="24"/>
                <w:szCs w:val="24"/>
                <w:color w:val="auto"/>
              </w:rPr>
            </w:pPr>
          </w:p>
        </w:tc>
        <w:tc>
          <w:tcPr>
            <w:tcW w:w="280" w:type="dxa"/>
            <w:vAlign w:val="bottom"/>
            <w:tcBorders>
              <w:top w:val="single" w:sz="8" w:color="auto"/>
            </w:tcBorders>
            <w:shd w:val="clear" w:color="auto" w:fill="CCFFCC"/>
          </w:tcPr>
          <w:p>
            <w:pPr>
              <w:spacing w:after="0"/>
              <w:rPr>
                <w:sz w:val="24"/>
                <w:szCs w:val="24"/>
                <w:color w:val="auto"/>
              </w:rPr>
            </w:pPr>
          </w:p>
        </w:tc>
        <w:tc>
          <w:tcPr>
            <w:tcW w:w="980" w:type="dxa"/>
            <w:vAlign w:val="bottom"/>
            <w:tcBorders>
              <w:top w:val="single" w:sz="8" w:color="auto"/>
            </w:tcBorders>
            <w:shd w:val="clear" w:color="auto" w:fill="CCFFCC"/>
          </w:tcPr>
          <w:p>
            <w:pPr>
              <w:spacing w:after="0"/>
              <w:rPr>
                <w:sz w:val="24"/>
                <w:szCs w:val="24"/>
                <w:color w:val="auto"/>
              </w:rPr>
            </w:pPr>
          </w:p>
        </w:tc>
        <w:tc>
          <w:tcPr>
            <w:tcW w:w="340" w:type="dxa"/>
            <w:vAlign w:val="bottom"/>
            <w:tcBorders>
              <w:top w:val="single" w:sz="8" w:color="CCFFCC"/>
            </w:tcBorders>
            <w:shd w:val="clear" w:color="auto" w:fill="CCFFCC"/>
          </w:tcPr>
          <w:p>
            <w:pPr>
              <w:spacing w:after="0"/>
              <w:rPr>
                <w:sz w:val="24"/>
                <w:szCs w:val="24"/>
                <w:color w:val="auto"/>
              </w:rPr>
            </w:pPr>
          </w:p>
        </w:tc>
        <w:tc>
          <w:tcPr>
            <w:tcW w:w="280" w:type="dxa"/>
            <w:vAlign w:val="bottom"/>
            <w:tcBorders>
              <w:top w:val="single" w:sz="8" w:color="auto"/>
            </w:tcBorders>
            <w:shd w:val="clear" w:color="auto" w:fill="CCFFCC"/>
          </w:tcPr>
          <w:p>
            <w:pPr>
              <w:spacing w:after="0"/>
              <w:rPr>
                <w:sz w:val="24"/>
                <w:szCs w:val="24"/>
                <w:color w:val="auto"/>
              </w:rPr>
            </w:pPr>
          </w:p>
        </w:tc>
        <w:tc>
          <w:tcPr>
            <w:tcW w:w="940" w:type="dxa"/>
            <w:vAlign w:val="bottom"/>
            <w:tcBorders>
              <w:top w:val="single" w:sz="8" w:color="auto"/>
            </w:tcBorders>
            <w:shd w:val="clear" w:color="auto" w:fill="CCFFCC"/>
          </w:tcPr>
          <w:p>
            <w:pPr>
              <w:spacing w:after="0"/>
              <w:rPr>
                <w:sz w:val="24"/>
                <w:szCs w:val="24"/>
                <w:color w:val="auto"/>
              </w:rPr>
            </w:pPr>
          </w:p>
        </w:tc>
        <w:tc>
          <w:tcPr>
            <w:tcW w:w="320" w:type="dxa"/>
            <w:vAlign w:val="bottom"/>
            <w:tcBorders>
              <w:top w:val="single" w:sz="8" w:color="CCFFCC"/>
            </w:tcBorders>
            <w:shd w:val="clear" w:color="auto" w:fill="CCFFCC"/>
          </w:tcPr>
          <w:p>
            <w:pPr>
              <w:spacing w:after="0"/>
              <w:rPr>
                <w:sz w:val="24"/>
                <w:szCs w:val="24"/>
                <w:color w:val="auto"/>
              </w:rPr>
            </w:pPr>
          </w:p>
        </w:tc>
      </w:tr>
    </w:tbl>
    <w:p>
      <w:pPr>
        <w:spacing w:after="0" w:line="76" w:lineRule="exact"/>
        <w:rPr>
          <w:sz w:val="20"/>
          <w:szCs w:val="20"/>
          <w:color w:val="auto"/>
        </w:rPr>
      </w:pPr>
    </w:p>
    <w:p>
      <w:pPr>
        <w:ind w:left="240" w:hanging="205"/>
        <w:spacing w:after="0"/>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severance costs and other compensation related costs of $3.2 million and $0.3 million for the three months ended March 31, 2020 and 2019, respectively.</w:t>
      </w:r>
    </w:p>
    <w:p>
      <w:pPr>
        <w:spacing w:after="0" w:line="41" w:lineRule="exact"/>
        <w:rPr>
          <w:rFonts w:ascii="Arial" w:cs="Arial" w:eastAsia="Arial" w:hAnsi="Arial"/>
          <w:sz w:val="14"/>
          <w:szCs w:val="14"/>
          <w:color w:val="auto"/>
        </w:rPr>
      </w:pPr>
    </w:p>
    <w:p>
      <w:pPr>
        <w:ind w:left="40" w:right="440" w:hanging="5"/>
        <w:spacing w:after="0" w:line="253" w:lineRule="auto"/>
        <w:tabs>
          <w:tab w:leader="none" w:pos="244"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sales tax liability of $2.3 million, litigation costs of $1.2 million, employee benefit cost of $0.8 million, and consulting costs of $0.4 million for the three months ended March 31, 2020.</w:t>
      </w:r>
    </w:p>
    <w:p>
      <w:pPr>
        <w:spacing w:after="0" w:line="79" w:lineRule="exact"/>
        <w:rPr>
          <w:rFonts w:ascii="Arial" w:cs="Arial" w:eastAsia="Arial" w:hAnsi="Arial"/>
          <w:sz w:val="14"/>
          <w:szCs w:val="14"/>
          <w:color w:val="auto"/>
        </w:rPr>
      </w:pPr>
    </w:p>
    <w:p>
      <w:pPr>
        <w:ind w:left="240" w:hanging="205"/>
        <w:spacing w:after="0"/>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litigation costs of $1.1 million, consulting costs of $1.3 million for the 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our services. Revenues are recognized when control of these services is transferred to our customers, in an amount that reflects the consideration we expect to be entitled to in exchange for those services.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360" w:hanging="205"/>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63" w:lineRule="exact"/>
        <w:rPr>
          <w:rFonts w:ascii="Arial" w:cs="Arial" w:eastAsia="Arial" w:hAnsi="Arial"/>
          <w:sz w:val="18"/>
          <w:szCs w:val="18"/>
          <w:color w:val="auto"/>
        </w:rPr>
      </w:pPr>
    </w:p>
    <w:p>
      <w:pPr>
        <w:ind w:left="1360" w:hanging="205"/>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557" w:right="339" w:bottom="1440" w:gutter="0" w:footer="0" w:header="0"/>
        </w:sectPr>
      </w:pPr>
    </w:p>
    <w:bookmarkStart w:id="42" w:name="page43"/>
    <w:bookmarkEnd w:id="42"/>
    <w:p>
      <w:pPr>
        <w:ind w:left="1360" w:hanging="205"/>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63" w:lineRule="exact"/>
        <w:rPr>
          <w:rFonts w:ascii="Arial" w:cs="Arial" w:eastAsia="Arial" w:hAnsi="Arial"/>
          <w:sz w:val="18"/>
          <w:szCs w:val="18"/>
          <w:color w:val="auto"/>
        </w:rPr>
      </w:pPr>
    </w:p>
    <w:p>
      <w:pPr>
        <w:ind w:left="1360" w:hanging="205"/>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63" w:lineRule="exact"/>
        <w:rPr>
          <w:rFonts w:ascii="Arial" w:cs="Arial" w:eastAsia="Arial" w:hAnsi="Arial"/>
          <w:sz w:val="18"/>
          <w:szCs w:val="18"/>
          <w:color w:val="auto"/>
        </w:rPr>
      </w:pPr>
    </w:p>
    <w:p>
      <w:pPr>
        <w:ind w:left="1360" w:hanging="205"/>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 of $78.1 million and $66.4 million was recognized for the three months ended March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Hosted Services Business revenue is reported at the amount that reflects the ultimate consideration expected to be received and primarily consist of fees that provide customers access to LiveEngage, our enterprise-class, cloud-based platform.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There is no significant variable consideration related to these arrangements. Additionally, for certain of our larger customers, we may provide call center labor through an arrangement with one or more of several qualified vendors. For most of these customers, we pass the fee we incur with the labor provider and its fee for the hosted services through to our customers in the form of a fixed fee for each order placed via our online engagement solutions. For these Gainshare arrangements in accordance with ASC-606, ‘‘Principal Agent Considerations,’’ we act as a principal in a transaction if we control the specified goods or services before they are transferred to the customer.</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revenue is recognized at an amount net of Expert fees in accordance with ASC 606, “Principal Agent Considerations,” due primarily to the fact that we do not act as a principal in a transaction since we do not control the specified goods or services before they are transferred to the customer. Additionally, we perform as an agent without any risk of loss for collection, and we are not involved in selecting the Expert or establishing the Expert’s fee. We collect a fee from the consumer and retain a portion of the fee, and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557"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then remit the balance to the Expert. Revenue from these transactions is recognized at the point in time when the transaction is complete and no significant performance obligations remain.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forfeiture rate assumptions, which estimate the share-based awards that will ultimately vest, requires judgment, and to the extent actual results or updated estimates differ from our current estimates, such amounts will be recorded as a cumulative adjustment in the period of change and could be materially different from share-based compensation expense recorded in prior periods. Effective January 1, 2020, the Company changed its forfeiture rate estimate which resulted in an increase in stock compensation expense of $2.3 million for the period ended March 31, 2020.</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2020 and in the comparable period in 2019, we accrued approximately $3.7 million and $1.9 million in cash awards, respectively, to be settled in shares of our stock and recorded a corresponding expense, which is included as a component of stock-based compensation expense in the accompanying condensed consolidated financial statements for the three months ended March 31, 2020 and 2019, respectively.</w:t>
      </w:r>
    </w:p>
    <w:p>
      <w:pPr>
        <w:spacing w:after="0" w:line="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the three months ended March 31, 2020 and in the comparable period in 2019, there was approximately $18.1 million and $14 million, respectively, of total unrecognized compensation cost related to nonvested share-based compensation arrangements. That cost is expected to be recognized over a weighted average period of approximately 2.7 years. As of March 31, 2020 and as of March 31, 2019, there was approximately $79.7 million and $42.2 million, respectively, of total unrecognized compensation cost related to nonvested restricted stock units. That cost is expected to be recognized over the remaining weighted average period of approximately 3.2 years and 2.8 years,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if we experience a significant write-off from one of our large customers, it could have a material adverse impact on our consolidated financial statements. No single customer accounted for or exceeded 10% of our total revenue in the three months ended March 31, 2020 and in the comparable period of 2019. No single customer accounted for or exceeded 10% of our total accounts receivable as of March 31, 2020. Two customers exceeded 10% of our total accounts receivable as of December 31, 2019. During the three months ended March 31, 2020, we increased our allowance for doubtful accounts from $3.1 million as of December 31, 2019 to approximately $3.6 million. A large proportion of receivables are due from larger corporate customers that typically have longer payment cycles. Accounts receivable is presented net of an allowance for doubtful accounts and sales reserve of $3.6 million and $3.5 million at March 31, 2020, respectively, and $3.1 million and $1.2 million at December 31, 2019, respectively.</w:t>
      </w:r>
    </w:p>
    <w:p>
      <w:pPr>
        <w:spacing w:after="0" w:line="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 allowance for doubtful accounts is established for losses expected to be incurred on accounts receivable balances. Judgment is required in the estimation of the allowance and we evaluate the collectability of our accounts receivable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customers or industry. Accounts receivable are written off against the allowance for uncollectible accounts when we determine amounts are no longer collectible.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 account for goodwill and intangible assets in accordance with ASC 350, “Intangibles - Goodwill and Other.” A purchase price paid that is in excess of net assets arising from a business combination is recorded as an asset (‘‘goodwill’’) and is not amortized. Intangible assets with an indefinite useful life are not amortized. Goodwill and intangible assets are tested for impairment on an annual basis or more frequently if changes in circumstances indicate that the carrying amount may not be recoverable. If</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557" w:right="339" w:bottom="1440" w:gutter="0" w:footer="0" w:header="0"/>
        </w:sectPr>
      </w:pPr>
    </w:p>
    <w:bookmarkStart w:id="44" w:name="page45"/>
    <w:bookmarkEnd w:id="44"/>
    <w:p>
      <w:pPr>
        <w:jc w:val="both"/>
        <w:ind w:right="20"/>
        <w:spacing w:after="0" w:line="277" w:lineRule="auto"/>
        <w:rPr>
          <w:sz w:val="20"/>
          <w:szCs w:val="20"/>
          <w:color w:val="auto"/>
        </w:rPr>
      </w:pPr>
      <w:r>
        <w:rPr>
          <w:rFonts w:ascii="Arial" w:cs="Arial" w:eastAsia="Arial" w:hAnsi="Arial"/>
          <w:sz w:val="18"/>
          <w:szCs w:val="18"/>
          <w:color w:val="auto"/>
        </w:rPr>
        <w:t>the goodwill or intangible asset is impaired, it is written down to its realizable value with a corresponding expense reflected in the consolidated statements of income.</w:t>
      </w:r>
    </w:p>
    <w:p>
      <w:pPr>
        <w:spacing w:after="0" w:line="62" w:lineRule="exact"/>
        <w:rPr>
          <w:sz w:val="20"/>
          <w:szCs w:val="20"/>
          <w:color w:val="auto"/>
        </w:rPr>
      </w:pPr>
    </w:p>
    <w:p>
      <w:pPr>
        <w:jc w:val="both"/>
        <w:ind w:firstLine="270"/>
        <w:spacing w:after="0" w:line="296" w:lineRule="auto"/>
        <w:rPr>
          <w:sz w:val="20"/>
          <w:szCs w:val="20"/>
          <w:color w:val="auto"/>
        </w:rPr>
      </w:pPr>
      <w:r>
        <w:rPr>
          <w:rFonts w:ascii="Arial" w:cs="Arial" w:eastAsia="Arial" w:hAnsi="Arial"/>
          <w:sz w:val="16"/>
          <w:szCs w:val="16"/>
          <w:color w:val="auto"/>
        </w:rPr>
        <w:t>Intangible assets that have finite lives, including but not limited to, agent and customer relationships and trademarks, are amortized over the estimated useful life of the asset. For intangible assets with finite lives, impairment is recognized if the carrying amount is not recoverable and exceeds the fair value of the intangible asset. Generally intangible assets with finite lives are only tested for impairment if there are indicators of impairment (“triggers”) identified. Triggers include, but are not limited to, a significant adverse change in the extent, manner or length of time in which the intangible asset is being used or a significant adverse change in legal factors or in the business climate that could affect the value of the other intangible asset.</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The carrying amounts of our long-lived assets, including property and equipment, lease right-of-use assets, capitalized internal-use software, costs to obtain customer contracts, and acquired intangible assets, are reviewed for impairment whenever events or changes in circumstances indicate that the carrying value of these assets may not be recoverable or that the useful lives are shorter than originally estimated. Recoverability of assets to be held and used is measured by comparing the carrying amount of an asset to future undiscounted net cash flows the asset is expected to generate over its remaining life. If the asset is considered to be impaired, the amount of any impairment is measured as the difference between the carrying value and the fair value of the impaired asset. If the useful life is shorter than originally estimated, we amortize the remaining carrying value over the new shorter useful life.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5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We include interest accrued on the underpayment of income taxes in interest expense and penalties, if any, related to unrecognized tax benefits in general and administrative expenses. We recorded a valuation allowance as we considered our cumulative loss in recent years as a significant piece of negative evidence. Valuation allowances are established, when necessary, to reduce deferred tax assets to the amount expected to be realized.</w:t>
      </w:r>
    </w:p>
    <w:p>
      <w:pPr>
        <w:spacing w:after="0" w:line="6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Under the CARES Act, the Company is able to recognize the benefit of the tax year 2018 loss by carrying back the loss to prior periods. The total tax benefit recognized as a result of the CARES Act for the three months ended March 31, 2020 is approximately $0.5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1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14, Legal Matters, of the Notes to the Condensed Consolidated Financial Statements under Item 8 of this Quarterly Report on Form 10-Q for additional information on our legal proceedings and litigation.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to Condensed Consolidated Financial Statements for a full description of recently issued accounting standards.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55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to Condensed Consolidated Financial Statements for a full description of recently 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We charge a monthly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360" w:hanging="205"/>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63" w:lineRule="exact"/>
        <w:rPr>
          <w:rFonts w:ascii="Arial" w:cs="Arial" w:eastAsia="Arial" w:hAnsi="Arial"/>
          <w:sz w:val="18"/>
          <w:szCs w:val="18"/>
          <w:color w:val="auto"/>
        </w:rPr>
      </w:pPr>
    </w:p>
    <w:p>
      <w:pPr>
        <w:ind w:left="1360" w:hanging="205"/>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63" w:lineRule="exact"/>
        <w:rPr>
          <w:rFonts w:ascii="Arial" w:cs="Arial" w:eastAsia="Arial" w:hAnsi="Arial"/>
          <w:sz w:val="18"/>
          <w:szCs w:val="18"/>
          <w:color w:val="auto"/>
        </w:rPr>
      </w:pPr>
    </w:p>
    <w:p>
      <w:pPr>
        <w:ind w:left="1360" w:hanging="205"/>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63" w:lineRule="exact"/>
        <w:rPr>
          <w:rFonts w:ascii="Arial" w:cs="Arial" w:eastAsia="Arial" w:hAnsi="Arial"/>
          <w:sz w:val="18"/>
          <w:szCs w:val="18"/>
          <w:color w:val="auto"/>
        </w:rPr>
      </w:pPr>
    </w:p>
    <w:p>
      <w:pPr>
        <w:ind w:left="1360" w:hanging="205"/>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63" w:lineRule="exact"/>
        <w:rPr>
          <w:rFonts w:ascii="Arial" w:cs="Arial" w:eastAsia="Arial" w:hAnsi="Arial"/>
          <w:sz w:val="18"/>
          <w:szCs w:val="18"/>
          <w:color w:val="auto"/>
        </w:rPr>
      </w:pPr>
    </w:p>
    <w:p>
      <w:pPr>
        <w:ind w:left="1360" w:hanging="205"/>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attributable to our monthly hosted Business services accounted for 78% of total revenue for the three months ended March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 attributable to professional services accounted for 14% of total revenue for the three months ended March 31, 2020 and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from our Consumer segment accounted for approximately 8% of total revenue for the three months ended March 31, 2020 and March 31,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 deferred revenues when cash payments are received or due in advance of our performance. The decrease of $85.9 million in deferred revenue balance for the quarter ended March 31, 2020 from the deferred revenue balance of $89.2 million for the year ended December 31, 2019, is primarily driven by $34.0 million revenues recognized that were included in the deferred revenue balance as of December 31, 2019. This was offset by cash payments received or due in advance of satisfying our performance obligations.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and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117" w:lineRule="exact"/>
        <w:rPr>
          <w:sz w:val="20"/>
          <w:szCs w:val="20"/>
          <w:color w:val="auto"/>
        </w:rPr>
      </w:pPr>
    </w:p>
    <w:p>
      <w:pPr>
        <w:ind w:left="1220" w:hanging="321"/>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557" w:right="339" w:bottom="1440" w:gutter="0" w:footer="0" w:header="0"/>
        </w:sectPr>
      </w:pPr>
    </w:p>
    <w:bookmarkStart w:id="46" w:name="page47"/>
    <w:bookmarkEnd w:id="46"/>
    <w:p>
      <w:pPr>
        <w:ind w:left="1220" w:hanging="321"/>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140" w:lineRule="exact"/>
        <w:rPr>
          <w:rFonts w:ascii="Arial" w:cs="Arial" w:eastAsia="Arial" w:hAnsi="Arial"/>
          <w:sz w:val="16"/>
          <w:szCs w:val="16"/>
          <w:color w:val="auto"/>
        </w:rPr>
      </w:pPr>
    </w:p>
    <w:p>
      <w:pPr>
        <w:ind w:left="1220" w:hanging="321"/>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consumer and self-service customers;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117" w:lineRule="exact"/>
        <w:rPr>
          <w:sz w:val="20"/>
          <w:szCs w:val="20"/>
          <w:color w:val="auto"/>
        </w:rPr>
      </w:pPr>
    </w:p>
    <w:p>
      <w:pPr>
        <w:jc w:val="both"/>
        <w:ind w:left="60" w:firstLine="648"/>
        <w:spacing w:after="0" w:line="263"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marketing events, sales commissions, public relations, promotional materials, travel expenses and trade show exhibit expenses.</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Compensation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non-cash compensation amounts are as follows:</w:t>
      </w:r>
    </w:p>
    <w:p>
      <w:pPr>
        <w:spacing w:after="0" w:line="338"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23495</wp:posOffset>
            </wp:positionV>
            <wp:extent cx="19202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03" w:lineRule="exact"/>
        <w:rPr>
          <w:sz w:val="20"/>
          <w:szCs w:val="20"/>
          <w:color w:val="auto"/>
        </w:rPr>
      </w:pPr>
    </w:p>
    <w:p>
      <w:pPr>
        <w:ind w:left="8800"/>
        <w:spacing w:after="0"/>
        <w:tabs>
          <w:tab w:leader="none" w:pos="103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23495</wp:posOffset>
            </wp:positionV>
            <wp:extent cx="19202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9"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ind w:left="40"/>
        <w:spacing w:after="0"/>
        <w:tabs>
          <w:tab w:leader="none" w:pos="8220" w:val="left"/>
          <w:tab w:leader="none" w:pos="9120" w:val="left"/>
          <w:tab w:leader="none" w:pos="9800" w:val="left"/>
          <w:tab w:leader="none" w:pos="10740" w:val="left"/>
        </w:tabs>
        <w:rPr>
          <w:sz w:val="20"/>
          <w:szCs w:val="20"/>
          <w:color w:val="auto"/>
        </w:rPr>
      </w:pPr>
      <w:r>
        <w:rPr>
          <w:rFonts w:ascii="Arial" w:cs="Arial" w:eastAsia="Arial" w:hAnsi="Arial"/>
          <w:sz w:val="16"/>
          <w:szCs w:val="16"/>
          <w:color w:val="auto"/>
        </w:rPr>
        <w:t>Stock-based compensation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14,695</w:t>
        <w:tab/>
        <w:t>$</w:t>
      </w:r>
      <w:r>
        <w:rPr>
          <w:sz w:val="20"/>
          <w:szCs w:val="20"/>
          <w:color w:val="auto"/>
        </w:rPr>
        <w:tab/>
      </w:r>
      <w:r>
        <w:rPr>
          <w:rFonts w:ascii="Arial" w:cs="Arial" w:eastAsia="Arial" w:hAnsi="Arial"/>
          <w:sz w:val="15"/>
          <w:szCs w:val="15"/>
          <w:color w:val="auto"/>
        </w:rPr>
        <w:t>7,166</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organized into two operating segments for purposes of making operating decisions and assessing performance. The Business segment enables brands to leverage LiveEngage’s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revenues for those periods. The period-to-period comparison of financial results is not necessarily indicative of future results.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March 31, 2020 and 2019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w:t>
      </w:r>
    </w:p>
    <w:p>
      <w:pPr>
        <w:spacing w:after="0" w:line="284"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23495</wp:posOffset>
            </wp:positionV>
            <wp:extent cx="18516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03" w:lineRule="exact"/>
        <w:rPr>
          <w:sz w:val="20"/>
          <w:szCs w:val="20"/>
          <w:color w:val="auto"/>
        </w:rPr>
      </w:pPr>
    </w:p>
    <w:p>
      <w:pPr>
        <w:ind w:left="8620"/>
        <w:spacing w:after="0"/>
        <w:tabs>
          <w:tab w:leader="none" w:pos="9580" w:val="left"/>
          <w:tab w:leader="none" w:pos="104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23495</wp:posOffset>
            </wp:positionV>
            <wp:extent cx="18516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03"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23495</wp:posOffset>
            </wp:positionV>
            <wp:extent cx="11830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20" w:type="dxa"/>
            <w:vAlign w:val="bottom"/>
          </w:tcPr>
          <w:p>
            <w:pPr>
              <w:ind w:left="40"/>
              <w:spacing w:after="0"/>
              <w:rPr>
                <w:sz w:val="20"/>
                <w:szCs w:val="20"/>
                <w:color w:val="auto"/>
              </w:rPr>
            </w:pPr>
            <w:r>
              <w:rPr>
                <w:rFonts w:ascii="Arial" w:cs="Arial" w:eastAsia="Arial" w:hAnsi="Arial"/>
                <w:sz w:val="16"/>
                <w:szCs w:val="16"/>
                <w:color w:val="auto"/>
              </w:rPr>
              <w:t>Revenue by Segment:</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3"/>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Business</w:t>
            </w: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71,848</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60,995</w:t>
            </w:r>
          </w:p>
        </w:tc>
        <w:tc>
          <w:tcPr>
            <w:tcW w:w="1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Consumer</w:t>
            </w:r>
          </w:p>
        </w:tc>
        <w:tc>
          <w:tcPr>
            <w:tcW w:w="2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6,240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5,407</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83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78,088</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66,402</w:t>
            </w:r>
          </w:p>
        </w:tc>
        <w:tc>
          <w:tcPr>
            <w:tcW w:w="1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22222"/>
        </w:rPr>
        <w:t>Business revenue increased by 18% to $71.9 million in the three months ended March 31, 2020 from $60.1 million in the comparable period in 2019. The increase in B2B revenue during the three months ended March 31, 2020 is driven mainly by year-over-year increases in hosted services of $10.5 million and in professional services of $1.3 million. Included in hosted services,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557" w:right="339" w:bottom="1440" w:gutter="0" w:footer="0" w:header="0"/>
        </w:sectPr>
      </w:pPr>
    </w:p>
    <w:bookmarkStart w:id="47" w:name="page48"/>
    <w:bookmarkEnd w:id="47"/>
    <w:p>
      <w:pPr>
        <w:jc w:val="both"/>
        <w:ind w:left="660" w:right="20" w:hanging="647"/>
        <w:spacing w:after="0" w:line="291" w:lineRule="auto"/>
        <w:rPr>
          <w:sz w:val="20"/>
          <w:szCs w:val="20"/>
          <w:color w:val="auto"/>
        </w:rPr>
      </w:pPr>
      <w:r>
        <w:rPr>
          <w:rFonts w:ascii="Arial" w:cs="Arial" w:eastAsia="Arial" w:hAnsi="Arial"/>
          <w:sz w:val="16"/>
          <w:szCs w:val="16"/>
          <w:color w:val="222222"/>
        </w:rPr>
        <w:t>is an increase in revenue that is variable based on interactions and usage of approximately $4.5 million during the three months ended March 31, 2020. The increase in revenue is primarily attributed to increased contract signings with new customers and greater adoption of conversational</w:t>
      </w:r>
    </w:p>
    <w:p>
      <w:pPr>
        <w:jc w:val="both"/>
        <w:spacing w:after="0" w:line="270" w:lineRule="auto"/>
        <w:rPr>
          <w:sz w:val="20"/>
          <w:szCs w:val="20"/>
          <w:color w:val="auto"/>
        </w:rPr>
      </w:pPr>
      <w:r>
        <w:rPr>
          <w:rFonts w:ascii="Arial" w:cs="Arial" w:eastAsia="Arial" w:hAnsi="Arial"/>
          <w:sz w:val="17"/>
          <w:szCs w:val="17"/>
          <w:color w:val="222222"/>
        </w:rPr>
        <w:t>commerce solutions by existing customers. LivePerson has developed a large ecosystem of conversational messaging endpoints that integrates to our platform, and is driving adoption of these endpoints along with bots and AI across care, sales, marketing, and brick and mortar use cases. As adoption increases, we are seeing higher revenue per customer. Our average annual revenue per enterprise and midmarket customer increased approximately 20% year over year to $365,000 in the trailing twelve months ended March 31, 2020, from $300,000 in the prior year period. Similarly, we are seeing strong revenue retention rates. Revenue retention for our enterprise and midmarket customers was within our target range of 105% to 115% for the period ended March 31, 2020, which marked the 11th consecutive quarter of a greater than 100% revenue retention rate.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Consumer revenue increased by 15% to $6.2 million in the three months ended March 31, 2020, from $5.4 million in the comparable period in 2019. This variance is driven by an increase in price per minute and in volume of chat minutes.</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Revenue - Business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220" w:type="dxa"/>
            <w:vAlign w:val="bottom"/>
          </w:tcPr>
          <w:p>
            <w:pPr>
              <w:spacing w:after="0"/>
              <w:rPr>
                <w:sz w:val="22"/>
                <w:szCs w:val="22"/>
                <w:color w:val="auto"/>
              </w:rPr>
            </w:pPr>
          </w:p>
        </w:tc>
        <w:tc>
          <w:tcPr>
            <w:tcW w:w="9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Change</w:t>
            </w:r>
          </w:p>
        </w:tc>
      </w:tr>
      <w:tr>
        <w:trPr>
          <w:trHeight w:val="263"/>
        </w:trPr>
        <w:tc>
          <w:tcPr>
            <w:tcW w:w="8220" w:type="dxa"/>
            <w:vAlign w:val="bottom"/>
          </w:tcPr>
          <w:p>
            <w:pPr>
              <w:spacing w:after="0"/>
              <w:rPr>
                <w:sz w:val="22"/>
                <w:szCs w:val="22"/>
                <w:color w:val="auto"/>
              </w:rPr>
            </w:pPr>
          </w:p>
        </w:tc>
        <w:tc>
          <w:tcPr>
            <w:tcW w:w="1960" w:type="dxa"/>
            <w:vAlign w:val="bottom"/>
            <w:tcBorders>
              <w:bottom w:val="single" w:sz="8" w:color="auto"/>
            </w:tcBorders>
            <w:gridSpan w:val="2"/>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Cost of revenue - business</w:t>
            </w:r>
          </w:p>
        </w:tc>
        <w:tc>
          <w:tcPr>
            <w:tcW w:w="980" w:type="dxa"/>
            <w:vAlign w:val="bottom"/>
          </w:tcPr>
          <w:p>
            <w:pPr>
              <w:jc w:val="right"/>
              <w:ind w:right="144"/>
              <w:spacing w:after="0"/>
              <w:rPr>
                <w:sz w:val="20"/>
                <w:szCs w:val="20"/>
                <w:color w:val="auto"/>
              </w:rPr>
            </w:pPr>
            <w:r>
              <w:rPr>
                <w:rFonts w:ascii="Arial" w:cs="Arial" w:eastAsia="Arial" w:hAnsi="Arial"/>
                <w:sz w:val="16"/>
                <w:szCs w:val="16"/>
                <w:color w:val="auto"/>
              </w:rPr>
              <w:t>$   21,345</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   17,662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980" w:type="dxa"/>
            <w:vAlign w:val="bottom"/>
            <w:tcBorders>
              <w:bottom w:val="single" w:sz="8" w:color="CCFFCC"/>
            </w:tcBorders>
            <w:shd w:val="clear" w:color="auto" w:fill="CCFFCC"/>
          </w:tcPr>
          <w:p>
            <w:pPr>
              <w:jc w:val="right"/>
              <w:ind w:right="4"/>
              <w:spacing w:after="0"/>
              <w:rPr>
                <w:sz w:val="20"/>
                <w:szCs w:val="20"/>
                <w:color w:val="auto"/>
              </w:rPr>
            </w:pPr>
            <w:r>
              <w:rPr>
                <w:rFonts w:ascii="Arial" w:cs="Arial" w:eastAsia="Arial" w:hAnsi="Arial"/>
                <w:sz w:val="16"/>
                <w:szCs w:val="16"/>
                <w:color w:val="auto"/>
              </w:rPr>
              <w:t>27%</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spacing w:after="0"/>
              <w:rPr>
                <w:sz w:val="21"/>
                <w:szCs w:val="2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980" w:type="dxa"/>
            <w:vAlign w:val="bottom"/>
          </w:tcPr>
          <w:p>
            <w:pPr>
              <w:jc w:val="right"/>
              <w:ind w:right="144"/>
              <w:spacing w:after="0"/>
              <w:rPr>
                <w:sz w:val="20"/>
                <w:szCs w:val="20"/>
                <w:color w:val="auto"/>
              </w:rPr>
            </w:pPr>
            <w:r>
              <w:rPr>
                <w:rFonts w:ascii="Arial" w:cs="Arial" w:eastAsia="Arial" w:hAnsi="Arial"/>
                <w:sz w:val="16"/>
                <w:szCs w:val="16"/>
                <w:color w:val="auto"/>
              </w:rPr>
              <w:t>250</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198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26%</w:t>
            </w:r>
          </w:p>
        </w:tc>
      </w:tr>
    </w:tbl>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Cost of revenue - business increased by 21% to $21.3 million in the three months ended March 31, 2020, from $17.7 million in the comparable period in 2019. This increase in expense is primarily attributable to salary and related employee expenses of approximately $2.1 million, an increase in business services and outsourced subcontracted labor of approximately $1.6 million, and in depreciation of approximately $0.2 million.</w:t>
      </w: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Revenue - Consumer</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3"/>
        </w:trPr>
        <w:tc>
          <w:tcPr>
            <w:tcW w:w="8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6"/>
                <w:szCs w:val="16"/>
                <w:color w:val="auto"/>
              </w:rPr>
              <w:t>Cost of revenue - consumer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24"/>
              <w:spacing w:after="0"/>
              <w:rPr>
                <w:sz w:val="20"/>
                <w:szCs w:val="20"/>
                <w:color w:val="auto"/>
              </w:rPr>
            </w:pPr>
            <w:r>
              <w:rPr>
                <w:rFonts w:ascii="Arial" w:cs="Arial" w:eastAsia="Arial" w:hAnsi="Arial"/>
                <w:sz w:val="16"/>
                <w:szCs w:val="16"/>
                <w:color w:val="auto"/>
              </w:rPr>
              <w:t>1,475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987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49 %</w:t>
            </w:r>
          </w:p>
        </w:tc>
      </w:tr>
      <w:tr>
        <w:trPr>
          <w:trHeight w:val="33"/>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shd w:val="clear" w:color="auto" w:fill="CCFFCC"/>
          </w:tcPr>
          <w:p>
            <w:pPr>
              <w:jc w:val="right"/>
              <w:ind w:right="4"/>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20" w:type="dxa"/>
            <w:vAlign w:val="bottom"/>
          </w:tcPr>
          <w:p>
            <w:pPr>
              <w:spacing w:after="0"/>
              <w:rPr>
                <w:sz w:val="20"/>
                <w:szCs w:val="20"/>
                <w:color w:val="auto"/>
              </w:rPr>
            </w:pPr>
          </w:p>
        </w:tc>
        <w:tc>
          <w:tcPr>
            <w:tcW w:w="760" w:type="dxa"/>
            <w:vAlign w:val="bottom"/>
          </w:tcPr>
          <w:p>
            <w:pPr>
              <w:jc w:val="right"/>
              <w:ind w:right="124"/>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20"/>
                <w:szCs w:val="20"/>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17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w:t>
            </w:r>
          </w:p>
        </w:tc>
      </w:tr>
    </w:tbl>
    <w:p>
      <w:pPr>
        <w:spacing w:after="0" w:line="12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Cost of revenue - consumer increased by 49% to $1.5 million in the three months ended March 31, 2020 from $1.0 million in the comparable period in 2019. This variance was primarily attributable to increases in business services and outsourced subcontracted labor of approximately $0.2 million, backup server facilities of $0.1 million, depreciation of approximately $0.1 million and credit card processing fees of approximately $0.1 million.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557" w:right="3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i w:val="1"/>
          <w:iCs w:val="1"/>
          <w:color w:val="auto"/>
        </w:rPr>
        <w:t>Sales and Marketing - Business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marketing events, public relations, trade show exhibit expenses and allocated occupancy costs and related overhead.</w:t>
      </w:r>
    </w:p>
    <w:p>
      <w:pPr>
        <w:spacing w:after="0" w:line="28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328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20" w:type="dxa"/>
            <w:vAlign w:val="bottom"/>
          </w:tcPr>
          <w:p>
            <w:pPr>
              <w:spacing w:after="0"/>
              <w:rPr>
                <w:sz w:val="22"/>
                <w:szCs w:val="22"/>
                <w:color w:val="auto"/>
              </w:rPr>
            </w:pPr>
          </w:p>
        </w:tc>
        <w:tc>
          <w:tcPr>
            <w:tcW w:w="9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3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Change</w:t>
            </w:r>
          </w:p>
        </w:tc>
      </w:tr>
      <w:tr>
        <w:trPr>
          <w:trHeight w:val="263"/>
        </w:trPr>
        <w:tc>
          <w:tcPr>
            <w:tcW w:w="7820" w:type="dxa"/>
            <w:vAlign w:val="bottom"/>
          </w:tcPr>
          <w:p>
            <w:pPr>
              <w:spacing w:after="0"/>
              <w:rPr>
                <w:sz w:val="22"/>
                <w:szCs w:val="22"/>
                <w:color w:val="auto"/>
              </w:rPr>
            </w:pPr>
          </w:p>
        </w:tc>
        <w:tc>
          <w:tcPr>
            <w:tcW w:w="1960" w:type="dxa"/>
            <w:vAlign w:val="bottom"/>
            <w:tcBorders>
              <w:bottom w:val="single" w:sz="8" w:color="auto"/>
            </w:tcBorders>
            <w:gridSpan w:val="2"/>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320" w:type="dxa"/>
            <w:vAlign w:val="bottom"/>
          </w:tcPr>
          <w:p>
            <w:pPr>
              <w:spacing w:after="0"/>
              <w:rPr>
                <w:sz w:val="22"/>
                <w:szCs w:val="22"/>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6"/>
                <w:szCs w:val="16"/>
                <w:color w:val="auto"/>
              </w:rPr>
              <w:t>Sales and marketing - business</w:t>
            </w:r>
          </w:p>
        </w:tc>
        <w:tc>
          <w:tcPr>
            <w:tcW w:w="980" w:type="dxa"/>
            <w:vAlign w:val="bottom"/>
          </w:tcPr>
          <w:p>
            <w:pPr>
              <w:jc w:val="right"/>
              <w:ind w:right="144"/>
              <w:spacing w:after="0"/>
              <w:rPr>
                <w:sz w:val="20"/>
                <w:szCs w:val="20"/>
                <w:color w:val="auto"/>
              </w:rPr>
            </w:pPr>
            <w:r>
              <w:rPr>
                <w:rFonts w:ascii="Arial" w:cs="Arial" w:eastAsia="Arial" w:hAnsi="Arial"/>
                <w:sz w:val="16"/>
                <w:szCs w:val="16"/>
                <w:color w:val="auto"/>
              </w:rPr>
              <w:t>$   37,469</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   30,092</w:t>
            </w:r>
          </w:p>
        </w:tc>
        <w:tc>
          <w:tcPr>
            <w:tcW w:w="132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33"/>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8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Percentage of total revenue</w:t>
            </w:r>
          </w:p>
        </w:tc>
        <w:tc>
          <w:tcPr>
            <w:tcW w:w="98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6"/>
                <w:szCs w:val="16"/>
                <w:color w:val="auto"/>
              </w:rPr>
              <w:t>48%</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45%</w:t>
            </w:r>
          </w:p>
        </w:tc>
        <w:tc>
          <w:tcPr>
            <w:tcW w:w="1320" w:type="dxa"/>
            <w:vAlign w:val="bottom"/>
            <w:tcBorders>
              <w:bottom w:val="single" w:sz="8" w:color="CCFFCC"/>
            </w:tcBorders>
            <w:shd w:val="clear" w:color="auto" w:fill="CCFFCC"/>
          </w:tcPr>
          <w:p>
            <w:pPr>
              <w:spacing w:after="0"/>
              <w:rPr>
                <w:sz w:val="21"/>
                <w:szCs w:val="21"/>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6"/>
                <w:szCs w:val="16"/>
                <w:color w:val="auto"/>
              </w:rPr>
              <w:t>Headcount (at period end):</w:t>
            </w:r>
          </w:p>
        </w:tc>
        <w:tc>
          <w:tcPr>
            <w:tcW w:w="980" w:type="dxa"/>
            <w:vAlign w:val="bottom"/>
          </w:tcPr>
          <w:p>
            <w:pPr>
              <w:jc w:val="right"/>
              <w:ind w:right="144"/>
              <w:spacing w:after="0"/>
              <w:rPr>
                <w:sz w:val="20"/>
                <w:szCs w:val="20"/>
                <w:color w:val="auto"/>
              </w:rPr>
            </w:pPr>
            <w:r>
              <w:rPr>
                <w:rFonts w:ascii="Arial" w:cs="Arial" w:eastAsia="Arial" w:hAnsi="Arial"/>
                <w:sz w:val="16"/>
                <w:szCs w:val="16"/>
                <w:color w:val="auto"/>
              </w:rPr>
              <w:t>357</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403</w:t>
            </w: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12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Sales and marketing - business expenses increased by 25% to $37.5 million in the three months ended March 31, 2020 from $30.1 million in the comparable period in 2019. This variance was primarily attributable to an increase in salary, recruitment, and related employee expenses of approximately $4.0 million, an increase in business services and outsourced labor of approximately $1.5 million, an increase in other costs of $1.0 million, consisting of increases in facilities and allocated overhead, and an increase in depreciation expense of $0.3 million. This was partially offset by a decrease in marketing events, advertising, public relations, and trade show exhibit expenses of approximately $0.5 million.</w:t>
      </w:r>
    </w:p>
    <w:p>
      <w:pPr>
        <w:spacing w:after="0" w:line="3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 Consumer</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public relations and allocated occupancy costs and related overhead.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Change</w:t>
            </w:r>
          </w:p>
        </w:tc>
      </w:tr>
      <w:tr>
        <w:trPr>
          <w:trHeight w:val="263"/>
        </w:trPr>
        <w:tc>
          <w:tcPr>
            <w:tcW w:w="8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6"/>
        </w:trPr>
        <w:tc>
          <w:tcPr>
            <w:tcW w:w="8220" w:type="dxa"/>
            <w:vAlign w:val="bottom"/>
          </w:tcPr>
          <w:p>
            <w:pPr>
              <w:ind w:left="40"/>
              <w:spacing w:after="0"/>
              <w:rPr>
                <w:sz w:val="20"/>
                <w:szCs w:val="20"/>
                <w:color w:val="auto"/>
              </w:rPr>
            </w:pPr>
            <w:r>
              <w:rPr>
                <w:rFonts w:ascii="Arial" w:cs="Arial" w:eastAsia="Arial" w:hAnsi="Arial"/>
                <w:sz w:val="16"/>
                <w:szCs w:val="16"/>
                <w:color w:val="auto"/>
              </w:rPr>
              <w:t>Sales and marketing - consumer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44"/>
              <w:spacing w:after="0"/>
              <w:rPr>
                <w:sz w:val="20"/>
                <w:szCs w:val="20"/>
                <w:color w:val="auto"/>
              </w:rPr>
            </w:pPr>
            <w:r>
              <w:rPr>
                <w:rFonts w:ascii="Arial" w:cs="Arial" w:eastAsia="Arial" w:hAnsi="Arial"/>
                <w:sz w:val="16"/>
                <w:szCs w:val="16"/>
                <w:color w:val="auto"/>
              </w:rPr>
              <w:t>5,211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1"/>
              <w:spacing w:after="0"/>
              <w:rPr>
                <w:sz w:val="20"/>
                <w:szCs w:val="20"/>
                <w:color w:val="auto"/>
              </w:rPr>
            </w:pPr>
            <w:r>
              <w:rPr>
                <w:rFonts w:ascii="Arial" w:cs="Arial" w:eastAsia="Arial" w:hAnsi="Arial"/>
                <w:sz w:val="16"/>
                <w:szCs w:val="16"/>
                <w:color w:val="auto"/>
              </w:rPr>
              <w:t>2,944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77%</w:t>
            </w:r>
          </w:p>
        </w:tc>
      </w:tr>
      <w:tr>
        <w:trPr>
          <w:trHeight w:val="33"/>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shd w:val="clear" w:color="auto" w:fill="CCFFCC"/>
          </w:tcPr>
          <w:p>
            <w:pPr>
              <w:jc w:val="right"/>
              <w:ind w:right="4"/>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spacing w:after="0"/>
              <w:rPr>
                <w:sz w:val="21"/>
                <w:szCs w:val="2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20" w:type="dxa"/>
            <w:vAlign w:val="bottom"/>
          </w:tcPr>
          <w:p>
            <w:pPr>
              <w:spacing w:after="0"/>
              <w:rPr>
                <w:sz w:val="20"/>
                <w:szCs w:val="20"/>
                <w:color w:val="auto"/>
              </w:rPr>
            </w:pPr>
          </w:p>
        </w:tc>
        <w:tc>
          <w:tcPr>
            <w:tcW w:w="760" w:type="dxa"/>
            <w:vAlign w:val="bottom"/>
          </w:tcPr>
          <w:p>
            <w:pPr>
              <w:jc w:val="right"/>
              <w:ind w:right="144"/>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20"/>
                <w:szCs w:val="20"/>
                <w:color w:val="auto"/>
              </w:rPr>
            </w:pPr>
          </w:p>
        </w:tc>
        <w:tc>
          <w:tcPr>
            <w:tcW w:w="700" w:type="dxa"/>
            <w:vAlign w:val="bottom"/>
          </w:tcPr>
          <w:p>
            <w:pPr>
              <w:jc w:val="right"/>
              <w:ind w:right="81"/>
              <w:spacing w:after="0"/>
              <w:rPr>
                <w:sz w:val="20"/>
                <w:szCs w:val="20"/>
                <w:color w:val="auto"/>
              </w:rPr>
            </w:pPr>
            <w:r>
              <w:rPr>
                <w:rFonts w:ascii="Arial" w:cs="Arial" w:eastAsia="Arial" w:hAnsi="Arial"/>
                <w:sz w:val="16"/>
                <w:szCs w:val="16"/>
                <w:color w:val="auto"/>
              </w:rPr>
              <w:t>13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38%</w:t>
            </w:r>
          </w:p>
        </w:tc>
      </w:tr>
    </w:tbl>
    <w:p>
      <w:pPr>
        <w:spacing w:after="0" w:line="12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Sales and marketing - consumer expenses increased by 77% to $5.2 million in the three months ended March 31, 2020 from $2.9 million in the comparable period in 2019. This variance was primarily attributable to increases in advertising and online expenses of $2.2 million.</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00" w:type="dxa"/>
            <w:vAlign w:val="bottom"/>
          </w:tcPr>
          <w:p>
            <w:pPr>
              <w:spacing w:after="0"/>
              <w:rPr>
                <w:sz w:val="22"/>
                <w:szCs w:val="22"/>
                <w:color w:val="auto"/>
              </w:rPr>
            </w:pPr>
          </w:p>
        </w:tc>
        <w:tc>
          <w:tcPr>
            <w:tcW w:w="10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8100" w:type="dxa"/>
            <w:vAlign w:val="bottom"/>
          </w:tcPr>
          <w:p>
            <w:pPr>
              <w:spacing w:after="0"/>
              <w:rPr>
                <w:sz w:val="21"/>
                <w:szCs w:val="21"/>
                <w:color w:val="auto"/>
              </w:rPr>
            </w:pPr>
          </w:p>
        </w:tc>
        <w:tc>
          <w:tcPr>
            <w:tcW w:w="1980" w:type="dxa"/>
            <w:vAlign w:val="bottom"/>
            <w:tcBorders>
              <w:bottom w:val="single" w:sz="8" w:color="auto"/>
            </w:tcBorders>
            <w:gridSpan w:val="2"/>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000" w:type="dxa"/>
            <w:vAlign w:val="bottom"/>
          </w:tcPr>
          <w:p>
            <w:pPr>
              <w:jc w:val="right"/>
              <w:ind w:right="144"/>
              <w:spacing w:after="0"/>
              <w:rPr>
                <w:sz w:val="20"/>
                <w:szCs w:val="20"/>
                <w:color w:val="auto"/>
              </w:rPr>
            </w:pPr>
            <w:r>
              <w:rPr>
                <w:rFonts w:ascii="Arial" w:cs="Arial" w:eastAsia="Arial" w:hAnsi="Arial"/>
                <w:sz w:val="16"/>
                <w:szCs w:val="16"/>
                <w:color w:val="auto"/>
              </w:rPr>
              <w:t>$   16,469</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   14,167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4"/>
              <w:spacing w:after="0"/>
              <w:rPr>
                <w:sz w:val="20"/>
                <w:szCs w:val="20"/>
                <w:color w:val="auto"/>
              </w:rPr>
            </w:pPr>
            <w:r>
              <w:rPr>
                <w:rFonts w:ascii="Arial" w:cs="Arial" w:eastAsia="Arial" w:hAnsi="Arial"/>
                <w:sz w:val="16"/>
                <w:szCs w:val="16"/>
                <w:color w:val="auto"/>
              </w:rPr>
              <w:t>21%</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4"/>
              <w:spacing w:after="0"/>
              <w:rPr>
                <w:sz w:val="20"/>
                <w:szCs w:val="20"/>
                <w:color w:val="auto"/>
              </w:rPr>
            </w:pPr>
            <w:r>
              <w:rPr>
                <w:rFonts w:ascii="Arial" w:cs="Arial" w:eastAsia="Arial" w:hAnsi="Arial"/>
                <w:sz w:val="16"/>
                <w:szCs w:val="16"/>
                <w:color w:val="auto"/>
              </w:rPr>
              <w:t>146</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128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14%</w:t>
            </w:r>
          </w:p>
        </w:tc>
      </w:tr>
    </w:tbl>
    <w:p>
      <w:pPr>
        <w:spacing w:after="0" w:line="12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General and administrative expenses increased by 16% to $16.5 million in the three months ended March 31, 2020 from $14.2 million in the comparable period in 2019. This was primarily related to an increase in salaries and employee related expenses of approximately $1.1 million and an increase in allocated occupancy costs, related overhead, information technology, and other general corporate expenses of approximately $0.9 million.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557" w:right="3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i w:val="1"/>
          <w:iCs w:val="1"/>
          <w:color w:val="auto"/>
        </w:rPr>
        <w:t>Product Development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100" w:type="dxa"/>
            <w:vAlign w:val="bottom"/>
          </w:tcPr>
          <w:p>
            <w:pPr>
              <w:spacing w:after="0"/>
              <w:rPr>
                <w:sz w:val="22"/>
                <w:szCs w:val="22"/>
                <w:color w:val="auto"/>
              </w:rPr>
            </w:pPr>
          </w:p>
        </w:tc>
        <w:tc>
          <w:tcPr>
            <w:tcW w:w="10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100" w:type="dxa"/>
            <w:vAlign w:val="bottom"/>
          </w:tcPr>
          <w:p>
            <w:pPr>
              <w:spacing w:after="0"/>
              <w:rPr>
                <w:sz w:val="22"/>
                <w:szCs w:val="22"/>
                <w:color w:val="auto"/>
              </w:rPr>
            </w:pPr>
          </w:p>
        </w:tc>
        <w:tc>
          <w:tcPr>
            <w:tcW w:w="1980" w:type="dxa"/>
            <w:vAlign w:val="bottom"/>
            <w:tcBorders>
              <w:bottom w:val="single" w:sz="8" w:color="auto"/>
            </w:tcBorders>
            <w:gridSpan w:val="2"/>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1000" w:type="dxa"/>
            <w:vAlign w:val="bottom"/>
          </w:tcPr>
          <w:p>
            <w:pPr>
              <w:jc w:val="right"/>
              <w:ind w:right="144"/>
              <w:spacing w:after="0"/>
              <w:rPr>
                <w:sz w:val="20"/>
                <w:szCs w:val="20"/>
                <w:color w:val="auto"/>
              </w:rPr>
            </w:pPr>
            <w:r>
              <w:rPr>
                <w:rFonts w:ascii="Arial" w:cs="Arial" w:eastAsia="Arial" w:hAnsi="Arial"/>
                <w:sz w:val="16"/>
                <w:szCs w:val="16"/>
                <w:color w:val="auto"/>
              </w:rPr>
              <w:t>$   25,716</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   18,173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4"/>
              <w:spacing w:after="0"/>
              <w:rPr>
                <w:sz w:val="20"/>
                <w:szCs w:val="20"/>
                <w:color w:val="auto"/>
              </w:rPr>
            </w:pPr>
            <w:r>
              <w:rPr>
                <w:rFonts w:ascii="Arial" w:cs="Arial" w:eastAsia="Arial" w:hAnsi="Arial"/>
                <w:sz w:val="16"/>
                <w:szCs w:val="16"/>
                <w:color w:val="auto"/>
              </w:rPr>
              <w:t>33%</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4"/>
              <w:spacing w:after="0"/>
              <w:rPr>
                <w:sz w:val="20"/>
                <w:szCs w:val="20"/>
                <w:color w:val="auto"/>
              </w:rPr>
            </w:pPr>
            <w:r>
              <w:rPr>
                <w:rFonts w:ascii="Arial" w:cs="Arial" w:eastAsia="Arial" w:hAnsi="Arial"/>
                <w:sz w:val="16"/>
                <w:szCs w:val="16"/>
                <w:color w:val="auto"/>
              </w:rPr>
              <w:t>445</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409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w:t>
            </w:r>
          </w:p>
        </w:tc>
      </w:tr>
    </w:tbl>
    <w:p>
      <w:pPr>
        <w:spacing w:after="0" w:line="12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Product development costs increased by 42% to $25.7 million in the three months ended March 31, 2020 from $18.2 million in the comparable period in 2019. This variance was primarily attributable to increases in total compensation, recruiting expense and associated costs for product development personnel of approximately $3.7 million, in depreciation expense and backup server facilities and allocated overhead related to costs of supporting our server and network infrastructure of approximately $2.2 million, and in outsourcing and business services of approximately $0.8 million.</w:t>
      </w:r>
    </w:p>
    <w:p>
      <w:pPr>
        <w:spacing w:after="0" w:line="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continue to invest in new product development efforts to expand the capability of LiveEngage. In accordance with ASC 350-40 - "Internal-Use Software," as new projects are initiated that provide functionality to the LiveEngage platform, the associated development and employee costs will be capitalized. Upon completion, the project costs will be depreciated over five years. In the three months ended March 31, 2020, $7.6 million was capitalized, compared to $5.4 million in the comparable period in 2019.</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 Costs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Restructuring costs consist of reprioritizing and reallocating resources to focus on areas showing high growth potential.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center"/>
              <w:ind w:right="128"/>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264"/>
        </w:trPr>
        <w:tc>
          <w:tcPr>
            <w:tcW w:w="8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Change</w:t>
            </w:r>
          </w:p>
        </w:tc>
      </w:tr>
      <w:tr>
        <w:trPr>
          <w:trHeight w:val="263"/>
        </w:trPr>
        <w:tc>
          <w:tcPr>
            <w:tcW w:w="8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44"/>
              <w:spacing w:after="0"/>
              <w:rPr>
                <w:sz w:val="20"/>
                <w:szCs w:val="20"/>
                <w:color w:val="auto"/>
              </w:rPr>
            </w:pPr>
            <w:r>
              <w:rPr>
                <w:rFonts w:ascii="Arial" w:cs="Arial" w:eastAsia="Arial" w:hAnsi="Arial"/>
                <w:sz w:val="16"/>
                <w:szCs w:val="16"/>
                <w:color w:val="auto"/>
              </w:rPr>
              <w:t>3,190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2"/>
              <w:spacing w:after="0"/>
              <w:rPr>
                <w:sz w:val="20"/>
                <w:szCs w:val="20"/>
                <w:color w:val="auto"/>
              </w:rPr>
            </w:pPr>
            <w:r>
              <w:rPr>
                <w:rFonts w:ascii="Arial" w:cs="Arial" w:eastAsia="Arial" w:hAnsi="Arial"/>
                <w:sz w:val="16"/>
                <w:szCs w:val="16"/>
                <w:color w:val="auto"/>
              </w:rPr>
              <w:t>279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1,043%</w:t>
            </w:r>
          </w:p>
        </w:tc>
      </w:tr>
      <w:tr>
        <w:trPr>
          <w:trHeight w:val="33"/>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220" w:type="dxa"/>
            <w:vAlign w:val="bottom"/>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shd w:val="clear" w:color="auto" w:fill="CCFFCC"/>
          </w:tcPr>
          <w:p>
            <w:pPr>
              <w:spacing w:after="0"/>
              <w:rPr>
                <w:sz w:val="20"/>
                <w:szCs w:val="20"/>
                <w:color w:val="auto"/>
              </w:rPr>
            </w:pPr>
          </w:p>
        </w:tc>
        <w:tc>
          <w:tcPr>
            <w:tcW w:w="760" w:type="dxa"/>
            <w:vAlign w:val="bottom"/>
            <w:shd w:val="clear" w:color="auto" w:fill="CCFFCC"/>
          </w:tcPr>
          <w:p>
            <w:pPr>
              <w:jc w:val="right"/>
              <w:ind w:right="4"/>
              <w:spacing w:after="0"/>
              <w:rPr>
                <w:sz w:val="20"/>
                <w:szCs w:val="20"/>
                <w:color w:val="auto"/>
              </w:rPr>
            </w:pPr>
            <w:r>
              <w:rPr>
                <w:rFonts w:ascii="Arial" w:cs="Arial" w:eastAsia="Arial" w:hAnsi="Arial"/>
                <w:sz w:val="16"/>
                <w:szCs w:val="16"/>
                <w:color w:val="auto"/>
              </w:rPr>
              <w:t>4%</w:t>
            </w:r>
          </w:p>
        </w:tc>
        <w:tc>
          <w:tcPr>
            <w:tcW w:w="280" w:type="dxa"/>
            <w:vAlign w:val="bottom"/>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r>
      <w:tr>
        <w:trPr>
          <w:trHeight w:val="33"/>
        </w:trPr>
        <w:tc>
          <w:tcPr>
            <w:tcW w:w="822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Restructuring costs increased by $2.9 million in the three months ended March 31, 2020 as compared to the comparable period in 2019. This variance was primarily attributable to an increase of severance and other associated costs of $2.8 million. Severance costs are associated with re-prioritizing and reallocating resources to focus on areas showing high growth potential.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Purchased Intangibles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b w:val="1"/>
                <w:bCs w:val="1"/>
                <w:color w:val="auto"/>
              </w:rPr>
              <w:t>Three Months Ended March 31,</w:t>
            </w:r>
          </w:p>
        </w:tc>
      </w:tr>
      <w:tr>
        <w:trPr>
          <w:trHeight w:val="250"/>
        </w:trPr>
        <w:tc>
          <w:tcPr>
            <w:tcW w:w="8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3"/>
        </w:trPr>
        <w:tc>
          <w:tcPr>
            <w:tcW w:w="816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00" w:type="dxa"/>
            <w:vAlign w:val="bottom"/>
            <w:tcBorders>
              <w:bottom w:val="single" w:sz="8" w:color="CCFFCC"/>
            </w:tcBorders>
          </w:tcPr>
          <w:p>
            <w:pPr>
              <w:spacing w:after="0"/>
              <w:rPr>
                <w:sz w:val="22"/>
                <w:szCs w:val="22"/>
                <w:color w:val="auto"/>
              </w:rPr>
            </w:pPr>
          </w:p>
        </w:tc>
      </w:tr>
      <w:tr>
        <w:trPr>
          <w:trHeight w:val="249"/>
        </w:trPr>
        <w:tc>
          <w:tcPr>
            <w:tcW w:w="8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Amortization of purchased intangibles</w:t>
            </w: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shd w:val="clear" w:color="auto" w:fill="CCFFCC"/>
          </w:tcPr>
          <w:p>
            <w:pPr>
              <w:jc w:val="right"/>
              <w:ind w:right="124"/>
              <w:spacing w:after="0"/>
              <w:rPr>
                <w:sz w:val="20"/>
                <w:szCs w:val="20"/>
                <w:color w:val="auto"/>
              </w:rPr>
            </w:pPr>
            <w:r>
              <w:rPr>
                <w:rFonts w:ascii="Arial" w:cs="Arial" w:eastAsia="Arial" w:hAnsi="Arial"/>
                <w:sz w:val="16"/>
                <w:szCs w:val="16"/>
                <w:color w:val="auto"/>
              </w:rPr>
              <w:t>405</w:t>
            </w:r>
          </w:p>
        </w:tc>
        <w:tc>
          <w:tcPr>
            <w:tcW w:w="2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461</w:t>
            </w:r>
          </w:p>
        </w:tc>
        <w:tc>
          <w:tcPr>
            <w:tcW w:w="11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8160" w:type="dxa"/>
            <w:vAlign w:val="bottom"/>
          </w:tcPr>
          <w:p>
            <w:pPr>
              <w:ind w:left="40"/>
              <w:spacing w:after="0"/>
              <w:rPr>
                <w:sz w:val="20"/>
                <w:szCs w:val="20"/>
                <w:color w:val="auto"/>
              </w:rPr>
            </w:pPr>
            <w:r>
              <w:rPr>
                <w:rFonts w:ascii="Arial" w:cs="Arial" w:eastAsia="Arial" w:hAnsi="Arial"/>
                <w:sz w:val="16"/>
                <w:szCs w:val="16"/>
                <w:color w:val="auto"/>
              </w:rPr>
              <w:t>Percentage of total revenues</w:t>
            </w:r>
          </w:p>
        </w:tc>
        <w:tc>
          <w:tcPr>
            <w:tcW w:w="220" w:type="dxa"/>
            <w:vAlign w:val="bottom"/>
          </w:tcPr>
          <w:p>
            <w:pPr>
              <w:spacing w:after="0"/>
              <w:rPr>
                <w:sz w:val="20"/>
                <w:szCs w:val="20"/>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expense for purchased intangibles decreased by 12% to $0.4 million in the three months ended March 31, 2020 from $0.5 million in the comparable period in 2019.</w:t>
      </w:r>
    </w:p>
    <w:p>
      <w:pPr>
        <w:spacing w:after="0" w:line="62" w:lineRule="exact"/>
        <w:rPr>
          <w:sz w:val="20"/>
          <w:szCs w:val="20"/>
          <w:color w:val="auto"/>
        </w:rPr>
      </w:pPr>
    </w:p>
    <w:p>
      <w:pPr>
        <w:ind w:left="660" w:right="80"/>
        <w:spacing w:after="0" w:line="375" w:lineRule="auto"/>
        <w:rPr>
          <w:sz w:val="20"/>
          <w:szCs w:val="20"/>
          <w:color w:val="auto"/>
        </w:rPr>
      </w:pPr>
      <w:r>
        <w:rPr>
          <w:rFonts w:ascii="Arial" w:cs="Arial" w:eastAsia="Arial" w:hAnsi="Arial"/>
          <w:sz w:val="18"/>
          <w:szCs w:val="18"/>
          <w:color w:val="auto"/>
        </w:rPr>
        <w:t xml:space="preserve">Additional amortization expense in the amount of $0.3 million in the three months ended March 31, 2020 and 2019 is included in cost of revenue. </w:t>
      </w:r>
      <w:r>
        <w:rPr>
          <w:rFonts w:ascii="Arial" w:cs="Arial" w:eastAsia="Arial" w:hAnsi="Arial"/>
          <w:sz w:val="18"/>
          <w:szCs w:val="18"/>
          <w:i w:val="1"/>
          <w:iCs w:val="1"/>
          <w:color w:val="auto"/>
        </w:rPr>
        <w:t>Other Expense (Income), net</w:t>
      </w:r>
    </w:p>
    <w:p>
      <w:pPr>
        <w:spacing w:after="0" w:line="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expense (income), net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55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26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00" w:type="dxa"/>
            <w:vAlign w:val="bottom"/>
            <w:tcBorders>
              <w:bottom w:val="single" w:sz="8" w:color="CCFFCC"/>
            </w:tcBorders>
          </w:tcPr>
          <w:p>
            <w:pPr>
              <w:spacing w:after="0"/>
              <w:rPr>
                <w:sz w:val="22"/>
                <w:szCs w:val="22"/>
                <w:color w:val="auto"/>
              </w:rPr>
            </w:pPr>
          </w:p>
        </w:tc>
      </w:tr>
      <w:tr>
        <w:trPr>
          <w:trHeight w:val="249"/>
        </w:trPr>
        <w:tc>
          <w:tcPr>
            <w:tcW w:w="8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Interest (expense) income</w:t>
            </w:r>
          </w:p>
        </w:tc>
        <w:tc>
          <w:tcPr>
            <w:tcW w:w="2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jc w:val="right"/>
              <w:ind w:right="4"/>
              <w:spacing w:after="0"/>
              <w:rPr>
                <w:sz w:val="20"/>
                <w:szCs w:val="20"/>
                <w:color w:val="auto"/>
              </w:rPr>
            </w:pPr>
            <w:r>
              <w:rPr>
                <w:rFonts w:ascii="Arial" w:cs="Arial" w:eastAsia="Arial" w:hAnsi="Arial"/>
                <w:sz w:val="16"/>
                <w:szCs w:val="16"/>
                <w:color w:val="auto"/>
              </w:rPr>
              <w:t>(2,791)</w:t>
            </w:r>
          </w:p>
        </w:tc>
        <w:tc>
          <w:tcPr>
            <w:tcW w:w="28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(667)</w:t>
            </w:r>
          </w:p>
        </w:tc>
        <w:tc>
          <w:tcPr>
            <w:tcW w:w="11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318 %</w:t>
            </w: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20" w:type="dxa"/>
            <w:vAlign w:val="bottom"/>
          </w:tcPr>
          <w:p>
            <w:pPr>
              <w:spacing w:after="0"/>
              <w:rPr>
                <w:sz w:val="20"/>
                <w:szCs w:val="20"/>
                <w:color w:val="auto"/>
              </w:rPr>
            </w:pP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(667)</w:t>
            </w:r>
          </w:p>
        </w:tc>
        <w:tc>
          <w:tcPr>
            <w:tcW w:w="28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733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(191)%</w:t>
            </w:r>
          </w:p>
        </w:tc>
      </w:tr>
      <w:tr>
        <w:trPr>
          <w:trHeight w:val="33"/>
        </w:trPr>
        <w:tc>
          <w:tcPr>
            <w:tcW w:w="82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0" w:type="dxa"/>
            <w:vAlign w:val="bottom"/>
            <w:tcBorders>
              <w:bottom w:val="single" w:sz="8" w:color="CCFFCC"/>
            </w:tcBorders>
          </w:tcPr>
          <w:p>
            <w:pPr>
              <w:spacing w:after="0"/>
              <w:rPr>
                <w:sz w:val="2"/>
                <w:szCs w:val="2"/>
                <w:color w:val="auto"/>
              </w:rPr>
            </w:pPr>
          </w:p>
        </w:tc>
      </w:tr>
      <w:tr>
        <w:trPr>
          <w:trHeight w:val="231"/>
        </w:trPr>
        <w:tc>
          <w:tcPr>
            <w:tcW w:w="8260" w:type="dxa"/>
            <w:vAlign w:val="bottom"/>
            <w:shd w:val="clear" w:color="auto" w:fill="CCFFCC"/>
          </w:tcPr>
          <w:p>
            <w:pPr>
              <w:ind w:left="40"/>
              <w:spacing w:after="0"/>
              <w:rPr>
                <w:sz w:val="20"/>
                <w:szCs w:val="20"/>
                <w:color w:val="auto"/>
              </w:rPr>
            </w:pPr>
            <w:r>
              <w:rPr>
                <w:rFonts w:ascii="Arial" w:cs="Arial" w:eastAsia="Arial" w:hAnsi="Arial"/>
                <w:sz w:val="16"/>
                <w:szCs w:val="16"/>
                <w:color w:val="auto"/>
              </w:rPr>
              <w:t>Other expense (income), net</w:t>
            </w:r>
          </w:p>
        </w:tc>
        <w:tc>
          <w:tcPr>
            <w:tcW w:w="2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4"/>
              <w:spacing w:after="0"/>
              <w:rPr>
                <w:sz w:val="20"/>
                <w:szCs w:val="20"/>
                <w:color w:val="auto"/>
              </w:rPr>
            </w:pPr>
            <w:r>
              <w:rPr>
                <w:rFonts w:ascii="Arial" w:cs="Arial" w:eastAsia="Arial" w:hAnsi="Arial"/>
                <w:sz w:val="16"/>
                <w:szCs w:val="16"/>
                <w:color w:val="auto"/>
              </w:rPr>
              <w:t>(3,458)</w:t>
            </w:r>
          </w:p>
        </w:tc>
        <w:tc>
          <w:tcPr>
            <w:tcW w:w="2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41"/>
              <w:spacing w:after="0"/>
              <w:rPr>
                <w:sz w:val="20"/>
                <w:szCs w:val="20"/>
                <w:color w:val="auto"/>
              </w:rPr>
            </w:pPr>
            <w:r>
              <w:rPr>
                <w:rFonts w:ascii="Arial" w:cs="Arial" w:eastAsia="Arial" w:hAnsi="Arial"/>
                <w:sz w:val="16"/>
                <w:szCs w:val="16"/>
                <w:color w:val="auto"/>
              </w:rPr>
              <w:t>66</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(5,339)%</w:t>
            </w:r>
          </w:p>
        </w:tc>
      </w:tr>
      <w:tr>
        <w:trPr>
          <w:trHeight w:val="33"/>
        </w:trPr>
        <w:tc>
          <w:tcPr>
            <w:tcW w:w="82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Other expense (income), net decreased to $3.5 million in the three months ended March 31, 2020, from other expense (income), net of $0.1 million in the comparable period in 2019 due to interest expense attributable to the 0.750% Convertible Senior Notes due 2024 (the ‘‘Notes’’), partially offset by interest income on cash and cash equivalents and financial income which is attributable to currency rate fluctuations.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 For 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8260" w:type="dxa"/>
            <w:vAlign w:val="bottom"/>
            <w:tcBorders>
              <w:bottom w:val="single" w:sz="8" w:color="CCFFC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1"/>
                <w:szCs w:val="21"/>
                <w:color w:val="auto"/>
              </w:rPr>
            </w:pPr>
          </w:p>
        </w:tc>
        <w:tc>
          <w:tcPr>
            <w:tcW w:w="1000" w:type="dxa"/>
            <w:vAlign w:val="bottom"/>
            <w:tcBorders>
              <w:bottom w:val="single" w:sz="8" w:color="CCFFCC"/>
            </w:tcBorders>
          </w:tcPr>
          <w:p>
            <w:pPr>
              <w:spacing w:after="0"/>
              <w:rPr>
                <w:sz w:val="21"/>
                <w:szCs w:val="21"/>
                <w:color w:val="auto"/>
              </w:rPr>
            </w:pPr>
          </w:p>
        </w:tc>
      </w:tr>
      <w:tr>
        <w:trPr>
          <w:trHeight w:val="237"/>
        </w:trPr>
        <w:tc>
          <w:tcPr>
            <w:tcW w:w="8260" w:type="dxa"/>
            <w:vAlign w:val="bottom"/>
            <w:shd w:val="clear" w:color="auto" w:fill="CCFFCC"/>
          </w:tcPr>
          <w:p>
            <w:pPr>
              <w:ind w:left="4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ind w:left="320"/>
              <w:spacing w:after="0"/>
              <w:rPr>
                <w:sz w:val="20"/>
                <w:szCs w:val="20"/>
                <w:color w:val="auto"/>
              </w:rPr>
            </w:pPr>
            <w:r>
              <w:rPr>
                <w:rFonts w:ascii="Arial" w:cs="Arial" w:eastAsia="Arial" w:hAnsi="Arial"/>
                <w:sz w:val="16"/>
                <w:szCs w:val="16"/>
                <w:color w:val="auto"/>
              </w:rPr>
              <w:t>352</w:t>
            </w:r>
          </w:p>
        </w:tc>
        <w:tc>
          <w:tcPr>
            <w:tcW w:w="3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44"/>
              <w:spacing w:after="0"/>
              <w:rPr>
                <w:sz w:val="20"/>
                <w:szCs w:val="20"/>
                <w:color w:val="auto"/>
              </w:rPr>
            </w:pPr>
            <w:r>
              <w:rPr>
                <w:rFonts w:ascii="Arial" w:cs="Arial" w:eastAsia="Arial" w:hAnsi="Arial"/>
                <w:sz w:val="16"/>
                <w:szCs w:val="16"/>
                <w:color w:val="auto"/>
              </w:rPr>
              <w:t>593</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82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Provision for income taxes decreased to $0.4 million in the three months ended March 31, 2020, from $0.6 million in the comparable period in 2019. Our consolidated effective tax rate was impacted by the statutory income tax rates applicable to each of the jurisdictions in which we operate.</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$37.0 million in the three months ended March 31, 2020 compared to a net loss of $18.9 million for the three months ended March 31, 2019. During the three months ended March 31, 2020, there were increases in revenue of approximately $11.7 million, increases in operating expenses of approximately $26.5 million, decreases in other (expense) income, net of approximately $3.5 million, and decrease in provision for income taxes of approximately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Liquidity and Capital Resources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3"/>
          </w:tcPr>
          <w:p>
            <w:pPr>
              <w:jc w:val="center"/>
              <w:ind w:right="161"/>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r>
      <w:tr>
        <w:trPr>
          <w:trHeight w:val="250"/>
        </w:trPr>
        <w:tc>
          <w:tcPr>
            <w:tcW w:w="40" w:type="dxa"/>
            <w:vAlign w:val="bottom"/>
            <w:tcBorders>
              <w:bottom w:val="single" w:sz="8" w:color="CCFFCC"/>
            </w:tcBorders>
          </w:tcPr>
          <w:p>
            <w:pPr>
              <w:spacing w:after="0"/>
              <w:rPr>
                <w:sz w:val="21"/>
                <w:szCs w:val="21"/>
                <w:color w:val="auto"/>
              </w:rPr>
            </w:pPr>
          </w:p>
        </w:tc>
        <w:tc>
          <w:tcPr>
            <w:tcW w:w="3140" w:type="dxa"/>
            <w:vAlign w:val="bottom"/>
            <w:tcBorders>
              <w:bottom w:val="single" w:sz="8" w:color="CCFFCC"/>
            </w:tcBorders>
          </w:tcPr>
          <w:p>
            <w:pPr>
              <w:spacing w:after="0"/>
              <w:rPr>
                <w:sz w:val="21"/>
                <w:szCs w:val="21"/>
                <w:color w:val="auto"/>
              </w:rPr>
            </w:pPr>
          </w:p>
        </w:tc>
        <w:tc>
          <w:tcPr>
            <w:tcW w:w="5480" w:type="dxa"/>
            <w:vAlign w:val="bottom"/>
            <w:tcBorders>
              <w:bottom w:val="single" w:sz="8" w:color="CCFFC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center"/>
              <w:ind w:left="424"/>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Borders>
              <w:bottom w:val="single" w:sz="8" w:color="auto"/>
            </w:tcBorders>
          </w:tcPr>
          <w:p>
            <w:pPr>
              <w:spacing w:after="0"/>
              <w:rPr>
                <w:sz w:val="21"/>
                <w:szCs w:val="21"/>
                <w:color w:val="auto"/>
              </w:rPr>
            </w:pPr>
          </w:p>
        </w:tc>
      </w:tr>
      <w:tr>
        <w:trPr>
          <w:trHeight w:val="202"/>
        </w:trPr>
        <w:tc>
          <w:tcPr>
            <w:tcW w:w="40" w:type="dxa"/>
            <w:vAlign w:val="bottom"/>
            <w:shd w:val="clear" w:color="auto" w:fill="CCFFCC"/>
          </w:tcPr>
          <w:p>
            <w:pPr>
              <w:spacing w:after="0"/>
              <w:rPr>
                <w:sz w:val="17"/>
                <w:szCs w:val="17"/>
                <w:color w:val="auto"/>
              </w:rPr>
            </w:pPr>
          </w:p>
        </w:tc>
        <w:tc>
          <w:tcPr>
            <w:tcW w:w="8620" w:type="dxa"/>
            <w:vAlign w:val="bottom"/>
            <w:gridSpan w:val="2"/>
            <w:shd w:val="clear" w:color="auto" w:fill="CCFFCC"/>
          </w:tcPr>
          <w:p>
            <w:pPr>
              <w:spacing w:after="0"/>
              <w:rPr>
                <w:sz w:val="20"/>
                <w:szCs w:val="20"/>
                <w:color w:val="auto"/>
              </w:rPr>
            </w:pPr>
            <w:r>
              <w:rPr>
                <w:rFonts w:ascii="Arial" w:cs="Arial" w:eastAsia="Arial" w:hAnsi="Arial"/>
                <w:sz w:val="16"/>
                <w:szCs w:val="16"/>
                <w:b w:val="1"/>
                <w:bCs w:val="1"/>
                <w:color w:val="auto"/>
              </w:rPr>
              <w:t>Consolidated Statements of Cash Flows Data:</w:t>
            </w:r>
          </w:p>
        </w:tc>
        <w:tc>
          <w:tcPr>
            <w:tcW w:w="2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r>
      <w:tr>
        <w:trPr>
          <w:trHeight w:val="48"/>
        </w:trPr>
        <w:tc>
          <w:tcPr>
            <w:tcW w:w="40" w:type="dxa"/>
            <w:vAlign w:val="bottom"/>
            <w:tcBorders>
              <w:top w:val="single" w:sz="8" w:color="CCFFCC"/>
            </w:tcBorders>
            <w:shd w:val="clear" w:color="auto" w:fill="CCFFCC"/>
          </w:tcPr>
          <w:p>
            <w:pPr>
              <w:spacing w:after="0"/>
              <w:rPr>
                <w:sz w:val="4"/>
                <w:szCs w:val="4"/>
                <w:color w:val="auto"/>
              </w:rPr>
            </w:pPr>
          </w:p>
        </w:tc>
        <w:tc>
          <w:tcPr>
            <w:tcW w:w="3140" w:type="dxa"/>
            <w:vAlign w:val="bottom"/>
            <w:tcBorders>
              <w:top w:val="single" w:sz="8" w:color="auto"/>
            </w:tcBorders>
            <w:shd w:val="clear" w:color="auto" w:fill="CCFFCC"/>
          </w:tcPr>
          <w:p>
            <w:pPr>
              <w:spacing w:after="0"/>
              <w:rPr>
                <w:sz w:val="4"/>
                <w:szCs w:val="4"/>
                <w:color w:val="auto"/>
              </w:rPr>
            </w:pPr>
          </w:p>
        </w:tc>
        <w:tc>
          <w:tcPr>
            <w:tcW w:w="5480" w:type="dxa"/>
            <w:vAlign w:val="bottom"/>
            <w:tcBorders>
              <w:top w:val="single" w:sz="8" w:color="CCFFCC"/>
            </w:tcBorders>
            <w:shd w:val="clear" w:color="auto" w:fill="CCFFCC"/>
          </w:tcPr>
          <w:p>
            <w:pPr>
              <w:spacing w:after="0"/>
              <w:rPr>
                <w:sz w:val="4"/>
                <w:szCs w:val="4"/>
                <w:color w:val="auto"/>
              </w:rPr>
            </w:pPr>
          </w:p>
        </w:tc>
        <w:tc>
          <w:tcPr>
            <w:tcW w:w="280" w:type="dxa"/>
            <w:vAlign w:val="bottom"/>
            <w:tcBorders>
              <w:top w:val="single" w:sz="8" w:color="CCFFCC"/>
            </w:tcBorders>
            <w:shd w:val="clear" w:color="auto" w:fill="CCFFCC"/>
          </w:tcPr>
          <w:p>
            <w:pPr>
              <w:spacing w:after="0"/>
              <w:rPr>
                <w:sz w:val="4"/>
                <w:szCs w:val="4"/>
                <w:color w:val="auto"/>
              </w:rPr>
            </w:pPr>
          </w:p>
        </w:tc>
        <w:tc>
          <w:tcPr>
            <w:tcW w:w="1020" w:type="dxa"/>
            <w:vAlign w:val="bottom"/>
            <w:tcBorders>
              <w:top w:val="single" w:sz="8" w:color="CCFFCC"/>
            </w:tcBorders>
            <w:shd w:val="clear" w:color="auto" w:fill="CCFFCC"/>
          </w:tcPr>
          <w:p>
            <w:pPr>
              <w:spacing w:after="0"/>
              <w:rPr>
                <w:sz w:val="4"/>
                <w:szCs w:val="4"/>
                <w:color w:val="auto"/>
              </w:rPr>
            </w:pPr>
          </w:p>
        </w:tc>
        <w:tc>
          <w:tcPr>
            <w:tcW w:w="520" w:type="dxa"/>
            <w:vAlign w:val="bottom"/>
            <w:tcBorders>
              <w:top w:val="single" w:sz="8" w:color="CCFFCC"/>
            </w:tcBorders>
            <w:shd w:val="clear" w:color="auto" w:fill="CCFFCC"/>
          </w:tcPr>
          <w:p>
            <w:pPr>
              <w:spacing w:after="0"/>
              <w:rPr>
                <w:sz w:val="4"/>
                <w:szCs w:val="4"/>
                <w:color w:val="auto"/>
              </w:rPr>
            </w:pPr>
          </w:p>
        </w:tc>
        <w:tc>
          <w:tcPr>
            <w:tcW w:w="760" w:type="dxa"/>
            <w:vAlign w:val="bottom"/>
            <w:tcBorders>
              <w:top w:val="single" w:sz="8" w:color="CCFFCC"/>
            </w:tcBorders>
            <w:shd w:val="clear" w:color="auto" w:fill="CCFFCC"/>
          </w:tcPr>
          <w:p>
            <w:pPr>
              <w:spacing w:after="0"/>
              <w:rPr>
                <w:sz w:val="4"/>
                <w:szCs w:val="4"/>
                <w:color w:val="auto"/>
              </w:rPr>
            </w:pPr>
          </w:p>
        </w:tc>
      </w:tr>
      <w:tr>
        <w:trPr>
          <w:trHeight w:val="237"/>
        </w:trPr>
        <w:tc>
          <w:tcPr>
            <w:tcW w:w="40" w:type="dxa"/>
            <w:vAlign w:val="bottom"/>
          </w:tcPr>
          <w:p>
            <w:pPr>
              <w:spacing w:after="0"/>
              <w:rPr>
                <w:sz w:val="20"/>
                <w:szCs w:val="20"/>
                <w:color w:val="auto"/>
              </w:rPr>
            </w:pPr>
          </w:p>
        </w:tc>
        <w:tc>
          <w:tcPr>
            <w:tcW w:w="8620" w:type="dxa"/>
            <w:vAlign w:val="bottom"/>
            <w:gridSpan w:val="2"/>
          </w:tcPr>
          <w:p>
            <w:pPr>
              <w:spacing w:after="0"/>
              <w:rPr>
                <w:sz w:val="20"/>
                <w:szCs w:val="20"/>
                <w:color w:val="auto"/>
              </w:rPr>
            </w:pPr>
            <w:r>
              <w:rPr>
                <w:rFonts w:ascii="Arial" w:cs="Arial" w:eastAsia="Arial" w:hAnsi="Arial"/>
                <w:sz w:val="16"/>
                <w:szCs w:val="16"/>
                <w:color w:val="auto"/>
              </w:rPr>
              <w:t>Cash flows provided by (used in) 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4"/>
              <w:spacing w:after="0"/>
              <w:rPr>
                <w:sz w:val="20"/>
                <w:szCs w:val="20"/>
                <w:color w:val="auto"/>
              </w:rPr>
            </w:pPr>
            <w:r>
              <w:rPr>
                <w:rFonts w:ascii="Arial" w:cs="Arial" w:eastAsia="Arial" w:hAnsi="Arial"/>
                <w:sz w:val="16"/>
                <w:szCs w:val="16"/>
                <w:color w:val="auto"/>
              </w:rPr>
              <w:t>4,293</w:t>
            </w: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(25,691)</w:t>
            </w:r>
          </w:p>
        </w:tc>
      </w:tr>
      <w:tr>
        <w:trPr>
          <w:trHeight w:val="33"/>
        </w:trPr>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FFCC"/>
            </w:tcBorders>
            <w:shd w:val="clear" w:color="auto" w:fill="CCFFCC"/>
          </w:tcPr>
          <w:p>
            <w:pPr>
              <w:spacing w:after="0"/>
              <w:rPr>
                <w:sz w:val="21"/>
                <w:szCs w:val="21"/>
                <w:color w:val="auto"/>
              </w:rPr>
            </w:pPr>
          </w:p>
        </w:tc>
        <w:tc>
          <w:tcPr>
            <w:tcW w:w="862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44"/>
              <w:spacing w:after="0"/>
              <w:rPr>
                <w:sz w:val="20"/>
                <w:szCs w:val="20"/>
                <w:color w:val="auto"/>
              </w:rPr>
            </w:pPr>
            <w:r>
              <w:rPr>
                <w:rFonts w:ascii="Arial" w:cs="Arial" w:eastAsia="Arial" w:hAnsi="Arial"/>
                <w:sz w:val="16"/>
                <w:szCs w:val="16"/>
                <w:color w:val="auto"/>
              </w:rPr>
              <w:t>(11,030)</w:t>
            </w:r>
          </w:p>
        </w:tc>
        <w:tc>
          <w:tcPr>
            <w:tcW w:w="52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(8,337)</w:t>
            </w:r>
          </w:p>
        </w:tc>
      </w:tr>
      <w:tr>
        <w:trPr>
          <w:trHeight w:val="237"/>
        </w:trPr>
        <w:tc>
          <w:tcPr>
            <w:tcW w:w="40" w:type="dxa"/>
            <w:vAlign w:val="bottom"/>
          </w:tcPr>
          <w:p>
            <w:pPr>
              <w:spacing w:after="0"/>
              <w:rPr>
                <w:sz w:val="20"/>
                <w:szCs w:val="20"/>
                <w:color w:val="auto"/>
              </w:rPr>
            </w:pPr>
          </w:p>
        </w:tc>
        <w:tc>
          <w:tcPr>
            <w:tcW w:w="8620" w:type="dxa"/>
            <w:vAlign w:val="bottom"/>
            <w:gridSpan w:val="2"/>
          </w:tcPr>
          <w:p>
            <w:pPr>
              <w:spacing w:after="0"/>
              <w:rPr>
                <w:sz w:val="20"/>
                <w:szCs w:val="20"/>
                <w:color w:val="auto"/>
              </w:rPr>
            </w:pPr>
            <w:r>
              <w:rPr>
                <w:rFonts w:ascii="Arial" w:cs="Arial" w:eastAsia="Arial" w:hAnsi="Arial"/>
                <w:sz w:val="16"/>
                <w:szCs w:val="16"/>
                <w:color w:val="auto"/>
              </w:rPr>
              <w:t>Cash flows provided by financing activities</w:t>
            </w:r>
          </w:p>
        </w:tc>
        <w:tc>
          <w:tcPr>
            <w:tcW w:w="280" w:type="dxa"/>
            <w:vAlign w:val="bottom"/>
          </w:tcPr>
          <w:p>
            <w:pPr>
              <w:spacing w:after="0"/>
              <w:rPr>
                <w:sz w:val="20"/>
                <w:szCs w:val="20"/>
                <w:color w:val="auto"/>
              </w:rPr>
            </w:pPr>
          </w:p>
        </w:tc>
        <w:tc>
          <w:tcPr>
            <w:tcW w:w="1020" w:type="dxa"/>
            <w:vAlign w:val="bottom"/>
          </w:tcPr>
          <w:p>
            <w:pPr>
              <w:jc w:val="right"/>
              <w:ind w:right="204"/>
              <w:spacing w:after="0"/>
              <w:rPr>
                <w:sz w:val="20"/>
                <w:szCs w:val="20"/>
                <w:color w:val="auto"/>
              </w:rPr>
            </w:pPr>
            <w:r>
              <w:rPr>
                <w:rFonts w:ascii="Arial" w:cs="Arial" w:eastAsia="Arial" w:hAnsi="Arial"/>
                <w:sz w:val="16"/>
                <w:szCs w:val="16"/>
                <w:color w:val="auto"/>
              </w:rPr>
              <w:t>3,098</w:t>
            </w:r>
          </w:p>
        </w:tc>
        <w:tc>
          <w:tcPr>
            <w:tcW w:w="5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205,489</w:t>
            </w:r>
          </w:p>
        </w:tc>
      </w:tr>
    </w:tbl>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March 31, 2020, we had approximately $171.5 million in cash and cash equivalents, a decrease of approximately $5.0 million from December 31, 2019. The decrease is primarily attributable to cash flows used in investing relating to purchases of property and equipment, offset by an increase of accounts receivable from operating activities and proceeds from the issuance of common stock from financing activities.</w:t>
      </w:r>
    </w:p>
    <w:p>
      <w:pPr>
        <w:spacing w:after="0" w:line="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cash provided by operating activities was $4.3 million for the three months ended March 31, 2020. Our net loss of $37.0 million was offset by non-cash expenses: stock-based compensation of $14.7 million; depreciation and amortization of $5.5 million; and a decrease in accounts receivable $24.1 million. Net cash used in operating activities was $25.7 million for the three months ended March 31, 2019 and consisted primarily of net loss, a decrease in accrued expenses and accounts payable and increases in prepaid expenses and accounts receivable. This was partially offset by increases in deferred revenue and non-cash expenses related to depreciation, stock compensation, and amortization of purchased intangibles. The increase in deferred revenue was primarily related to changes in our billing terms for some of our larger customers.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778" w:right="339" w:bottom="1440" w:gutter="0" w:footer="0" w:header="0"/>
        </w:sectPr>
      </w:pPr>
    </w:p>
    <w:bookmarkStart w:id="51" w:name="page52"/>
    <w:bookmarkEnd w:id="51"/>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$11.0 million in the three months ended March 31, 2020 and consisted primarily of the purchase of fixed assets for our co-location facilities and capitalization of internally developed software. Net cash used in investing activities was $8.3 million in the three months ended March 31, 2019 and consisted primarily of the purchase of fixed assets for our co-location facilities and capitalization of internally developed software.</w:t>
      </w:r>
    </w:p>
    <w:p>
      <w:pPr>
        <w:spacing w:after="0" w:line="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cash provided by financing activities was $3.1 million in the three months ended March 31, 2020 and consisted primarily of proceeds from issuance of common stock in connection with the exercise of stock options by employees. Net cash provided by financing activities was $205.5 million in the three months ended March 31, 2019 and consisted primarily of proceeds from issuance of the Notes and proceeds from issuance of common stock in connection with the exercise of stock options by employees. This was partially offset by purchases of capped calls, debt issuance costs, and repurchase of our common stock. The net proceeds of the Notes was approximately $221.0 million, after deducting initial purchaser debt issuance costs paid or payable by us, from issuance of the Notes, as described in Note 8 to the Condensed Consolidated Financial Statements.</w:t>
      </w:r>
    </w:p>
    <w:p>
      <w:pPr>
        <w:spacing w:after="0" w:line="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March 31, 2020, we had an accumulated deficit of approximately $321.3 million.</w:t>
      </w:r>
    </w:p>
    <w:p>
      <w:pPr>
        <w:spacing w:after="0" w:line="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principal sources of liquidity are the net proceeds from the issuance of our convertible senior notes, after deducting purchaser discounts and debt issuance costs paid by us, issuance of common stock in connection with the exercise of options, and payments received from customers using our products. We anticipate that our current cash and cash equivalents will be 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Off-Balance Sheet Arrangements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engage in off-balance sheet financing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Risks</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Israeli operations have currency rate fluctuation risk associated with the exchange rate movement of the U.S. dollar against the New Israeli Shekel (“NIS”). During the three months ended March 31, 2020, the U.S. dollar depreciated by approximately 3% as compared to the NIS. During the three months ended March 31, 2020, expenses generated by our Israeli operations totaled approximately $18.3 million.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and the functional currency of our operations in Japan is the Japanese Yen.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Collection Risks</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accounts receivable are subject, in the normal course of business, to collection risks. We regularly assess these risks and have established policies and business practices to protect against the adverse effects of collection risks. During the three months ended March 31, 2020, our allowance for doubtful accounts increased by $0.5 million to approximately $3.6 million. During the three months ended March 31, 2019 our allowance for doubtful accounts increased by $0.5 million to approximately $2.7 million.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its recorded allowance when we have exhausted collection efforts without success. We adjust our allowance for doubtful accounts when accounts previously reserved have been collected.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557" w:right="339" w:bottom="1440" w:gutter="0" w:footer="0" w:header="0"/>
        </w:sectPr>
      </w:pPr>
    </w:p>
    <w:bookmarkStart w:id="52" w:name="page53"/>
    <w:bookmarkEnd w:id="52"/>
    <w:p>
      <w:pPr>
        <w:jc w:val="both"/>
        <w:ind w:firstLine="648"/>
        <w:spacing w:after="0" w:line="272" w:lineRule="auto"/>
        <w:rPr>
          <w:sz w:val="20"/>
          <w:szCs w:val="20"/>
          <w:color w:val="auto"/>
        </w:rPr>
      </w:pPr>
      <w:r>
        <w:rPr>
          <w:rFonts w:ascii="Arial" w:cs="Arial" w:eastAsia="Arial" w:hAnsi="Arial"/>
          <w:sz w:val="17"/>
          <w:szCs w:val="17"/>
          <w:color w:val="auto"/>
        </w:rPr>
        <w:t>An allowance for doubtful accounts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customers or industry. Accounts receivable are written off against the allowance for uncollectible accounts when we determine amounts are no longer collectible.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March 2019, we issued $230.0 million in aggregate principal amount of the Notes, as discussed in Note 8 to the Condensed Consolidated Financial Statements. As the Notes have a fixed annual interest rate, we have no financial and economic interest exposure associated with changes in interest rates. However, the fair value of the Notes changes when the market price of our stock fluctuates or interest rates change.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557"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March 31, 2020. Based on that evaluation, the Chief Executive Officer and Chief Financial Officer concluded that our disclosure controls and procedures were effective as of March 31, 2020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2020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the Effectiveness of Internal Control</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 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On June 22, 2015, [24]7 Customer, Inc. filed suit against us in the Northern District of California alleging patent infringement. On December 7, 2015, [24]7 Customer Inc. filed a second patent infringement suit against us,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our favor have invalidated the majority of [24]7 patents that were asserted in the patent cases. Trial for our intellectual property and other claims asserted against [24]7 in the original litigation was set for April 27, 2020, </w:t>
      </w:r>
      <w:r>
        <w:rPr>
          <w:rFonts w:ascii="Arial" w:cs="Arial" w:eastAsia="Arial" w:hAnsi="Arial"/>
          <w:sz w:val="16"/>
          <w:szCs w:val="16"/>
          <w:color w:val="212529"/>
        </w:rPr>
        <w:t>but that date was vacated due to court</w:t>
      </w:r>
      <w:r>
        <w:rPr>
          <w:rFonts w:ascii="Arial" w:cs="Arial" w:eastAsia="Arial" w:hAnsi="Arial"/>
          <w:sz w:val="16"/>
          <w:szCs w:val="16"/>
          <w:color w:val="auto"/>
        </w:rPr>
        <w:t xml:space="preserve"> </w:t>
      </w:r>
      <w:r>
        <w:rPr>
          <w:rFonts w:ascii="Arial" w:cs="Arial" w:eastAsia="Arial" w:hAnsi="Arial"/>
          <w:sz w:val="16"/>
          <w:szCs w:val="16"/>
          <w:color w:val="212529"/>
        </w:rPr>
        <w:t>restrictions related to Covid-19 and will be reset once those restrictions are lifted</w:t>
      </w:r>
      <w:r>
        <w:rPr>
          <w:rFonts w:ascii="Arial" w:cs="Arial" w:eastAsia="Arial" w:hAnsi="Arial"/>
          <w:sz w:val="16"/>
          <w:szCs w:val="16"/>
          <w:color w:val="000000"/>
        </w:rPr>
        <w:t>. Trial for [24]7’s patent infringement claims has been vacated, to be reset</w:t>
      </w:r>
      <w:r>
        <w:rPr>
          <w:rFonts w:ascii="Arial" w:cs="Arial" w:eastAsia="Arial" w:hAnsi="Arial"/>
          <w:sz w:val="16"/>
          <w:szCs w:val="16"/>
          <w:color w:val="212529"/>
        </w:rPr>
        <w:t xml:space="preserve"> </w:t>
      </w:r>
      <w:r>
        <w:rPr>
          <w:rFonts w:ascii="Arial" w:cs="Arial" w:eastAsia="Arial" w:hAnsi="Arial"/>
          <w:sz w:val="16"/>
          <w:szCs w:val="16"/>
          <w:color w:val="000000"/>
        </w:rPr>
        <w:t>after the trial on LivePerson’s claims. We believe the claims filed by [24]7 are entirely without merit and intend to defend them vigorously.</w:t>
      </w:r>
    </w:p>
    <w:p>
      <w:pPr>
        <w:spacing w:after="0" w:line="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557" w:right="339" w:bottom="1440" w:gutter="0" w:footer="0" w:header="0"/>
        </w:sectPr>
      </w:pPr>
    </w:p>
    <w:bookmarkStart w:id="54" w:name="page55"/>
    <w:bookmarkEnd w:id="54"/>
    <w:p>
      <w:pPr>
        <w:jc w:val="both"/>
        <w:ind w:firstLine="648"/>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Annual Report on Form 10-K for the year ended December 31, 2019, filed on March 2, 2020, which could adversely affect our business, financial condition, results of operations, cash flows, and the trading price of our common stock. Other than as set forth below, there have been no material changes to the risk factors described in our most recent Annual Report on Form 10-K.</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ongoing coronavirus pandemic (COVID-19) and measures intended to prevent its spread could have a material adverse effect on our business, results of operations, cash flows, financial condition and/or stock price.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results of operations have been adversely affected and could in the future be materially adversely impacted by the coronavirus pandemic (COVID-19). The global spread of the coronavirus (COVID-19) has created significant volatility and uncertainty and economic disruption. The extent to which the coronavirus pandemic impacts our business, operations and financial results will depend on numerous evolving factors that we may not be able to accurately predict, including: the duration and scope of the pandemic; governmental, business and individuals’ actions that have been and continue to be taken in response to the pandemic; the impact of the pandemic on economic activity and actions taken in response; the effect on our clients and client demand for our services and solutions, including the potential lengthening of the sales cycle; our ability to sell and provide our services and solutions, including as a result of travel restrictions and people working from home; the ability of our clients to pay for our services and solutions; and any closures of our and our clients’ offices and facilities. Clients may also slow down decision making, delay planned work, seek to terminate existing agreements and/or delay payment terms. Any of these events or other currently unforeseen consequences of the coronavirus pandemic could cause or contribute to the risks and uncertainties enumerated in our Annual Report on Form 10-K, and could materially adversely affect our business, results of operations, cash flows, financial condition and/or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unregistered sales of equity securities by the issuer during the three months ended March 31,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Equity Securities by the Issuer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repurchases of equity securities by the issuer during the three months ended March 31,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4. Mine Safety Disclosures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557" w:right="339" w:bottom="1440" w:gutter="0" w:footer="0" w:header="0"/>
        </w:sectPr>
      </w:pPr>
    </w:p>
    <w:bookmarkStart w:id="55" w:name="page56"/>
    <w:bookmarkEnd w:id="55"/>
    <w:p>
      <w:pPr>
        <w:jc w:val="right"/>
        <w:ind w:right="3579"/>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9479"/>
          </w:cols>
          <w:pgMar w:left="980" w:top="557"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40" w:type="dxa"/>
            <w:vAlign w:val="bottom"/>
            <w:gridSpan w:val="5"/>
          </w:tcPr>
          <w:p>
            <w:pPr>
              <w:ind w:left="1340"/>
              <w:spacing w:after="0"/>
              <w:rPr>
                <w:sz w:val="20"/>
                <w:szCs w:val="20"/>
                <w:color w:val="auto"/>
              </w:rPr>
            </w:pPr>
            <w:r>
              <w:rPr>
                <w:rFonts w:ascii="Arial" w:cs="Arial" w:eastAsia="Arial" w:hAnsi="Arial"/>
                <w:sz w:val="18"/>
                <w:szCs w:val="18"/>
                <w:color w:val="auto"/>
              </w:rPr>
              <w:t>ITEM 6. EXHIBITS</w:t>
            </w:r>
          </w:p>
        </w:tc>
        <w:tc>
          <w:tcPr>
            <w:tcW w:w="0" w:type="dxa"/>
            <w:vAlign w:val="bottom"/>
          </w:tcPr>
          <w:p>
            <w:pPr>
              <w:spacing w:after="0"/>
              <w:rPr>
                <w:sz w:val="1"/>
                <w:szCs w:val="1"/>
                <w:color w:val="auto"/>
              </w:rPr>
            </w:pPr>
          </w:p>
        </w:tc>
      </w:tr>
      <w:tr>
        <w:trPr>
          <w:trHeight w:val="770"/>
        </w:trPr>
        <w:tc>
          <w:tcPr>
            <w:tcW w:w="940" w:type="dxa"/>
            <w:vAlign w:val="bottom"/>
            <w:vMerge w:val="restart"/>
          </w:tcPr>
          <w:p>
            <w:pPr>
              <w:jc w:val="center"/>
              <w:ind w:left="10"/>
              <w:spacing w:after="0"/>
              <w:rPr>
                <w:sz w:val="20"/>
                <w:szCs w:val="20"/>
                <w:color w:val="auto"/>
              </w:rPr>
            </w:pPr>
            <w:r>
              <w:rPr>
                <w:rFonts w:ascii="Arial" w:cs="Arial" w:eastAsia="Arial" w:hAnsi="Arial"/>
                <w:sz w:val="18"/>
                <w:szCs w:val="18"/>
                <w:color w:val="auto"/>
                <w:w w:val="91"/>
              </w:rPr>
              <w:t>31.1</w:t>
            </w:r>
          </w:p>
        </w:tc>
        <w:tc>
          <w:tcPr>
            <w:tcW w:w="560" w:type="dxa"/>
            <w:vAlign w:val="bottom"/>
          </w:tcPr>
          <w:p>
            <w:pPr>
              <w:spacing w:after="0"/>
              <w:rPr>
                <w:sz w:val="24"/>
                <w:szCs w:val="24"/>
                <w:color w:val="auto"/>
              </w:rPr>
            </w:pPr>
          </w:p>
        </w:tc>
        <w:tc>
          <w:tcPr>
            <w:tcW w:w="900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Certification by Chief Executive Officer pursuant to Exchange Act Rule 13a-14(a), as adopted pursuant to Section 302 of the</w:t>
              </w:r>
            </w:hyperlink>
          </w:p>
        </w:tc>
        <w:tc>
          <w:tcPr>
            <w:tcW w:w="6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40" w:type="dxa"/>
            <w:vAlign w:val="bottom"/>
            <w:vMerge w:val="continue"/>
          </w:tcPr>
          <w:p>
            <w:pPr>
              <w:spacing w:after="0"/>
              <w:rPr>
                <w:sz w:val="11"/>
                <w:szCs w:val="11"/>
                <w:color w:val="auto"/>
              </w:rPr>
            </w:pPr>
          </w:p>
        </w:tc>
        <w:tc>
          <w:tcPr>
            <w:tcW w:w="56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w:t>
            </w:r>
          </w:p>
        </w:tc>
        <w:tc>
          <w:tcPr>
            <w:tcW w:w="9680" w:type="dxa"/>
            <w:vAlign w:val="bottom"/>
            <w:gridSpan w:val="7"/>
            <w:vMerge w:val="restart"/>
          </w:tcPr>
          <w:p>
            <w:pPr>
              <w:spacing w:after="0" w:line="196" w:lineRule="exact"/>
              <w:rPr>
                <w:rFonts w:ascii="Arial" w:cs="Arial" w:eastAsia="Arial" w:hAnsi="Arial"/>
                <w:sz w:val="18"/>
                <w:szCs w:val="18"/>
                <w:color w:val="0000FF"/>
              </w:rPr>
            </w:pPr>
            <w:hyperlink w:anchor="page59">
              <w:r>
                <w:rPr>
                  <w:rFonts w:ascii="Arial" w:cs="Arial" w:eastAsia="Arial" w:hAnsi="Arial"/>
                  <w:sz w:val="18"/>
                  <w:szCs w:val="18"/>
                  <w:color w:val="0000FF"/>
                </w:rPr>
                <w:t>Sarbanes-Oxley Act of 2002</w:t>
              </w:r>
            </w:hyperlink>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6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69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34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69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4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jc w:val="center"/>
              <w:ind w:left="10"/>
              <w:spacing w:after="0"/>
              <w:rPr>
                <w:sz w:val="20"/>
                <w:szCs w:val="20"/>
                <w:color w:val="auto"/>
              </w:rPr>
            </w:pPr>
            <w:r>
              <w:rPr>
                <w:rFonts w:ascii="Arial" w:cs="Arial" w:eastAsia="Arial" w:hAnsi="Arial"/>
                <w:sz w:val="18"/>
                <w:szCs w:val="18"/>
                <w:color w:val="auto"/>
                <w:w w:val="91"/>
              </w:rPr>
              <w:t>31.2</w:t>
            </w:r>
          </w:p>
        </w:tc>
        <w:tc>
          <w:tcPr>
            <w:tcW w:w="560" w:type="dxa"/>
            <w:vAlign w:val="bottom"/>
          </w:tcPr>
          <w:p>
            <w:pPr>
              <w:spacing w:after="0"/>
              <w:rPr>
                <w:sz w:val="17"/>
                <w:szCs w:val="17"/>
                <w:color w:val="auto"/>
              </w:rPr>
            </w:pPr>
          </w:p>
        </w:tc>
        <w:tc>
          <w:tcPr>
            <w:tcW w:w="9680" w:type="dxa"/>
            <w:vAlign w:val="bottom"/>
            <w:gridSpan w:val="7"/>
          </w:tcPr>
          <w:p>
            <w:pPr>
              <w:spacing w:after="0" w:line="202" w:lineRule="exact"/>
              <w:rPr>
                <w:rFonts w:ascii="Arial" w:cs="Arial" w:eastAsia="Arial" w:hAnsi="Arial"/>
                <w:sz w:val="18"/>
                <w:szCs w:val="18"/>
                <w:color w:val="0000FF"/>
                <w:w w:val="98"/>
              </w:rPr>
            </w:pPr>
            <w:hyperlink w:anchor="page60">
              <w:r>
                <w:rPr>
                  <w:rFonts w:ascii="Arial" w:cs="Arial" w:eastAsia="Arial" w:hAnsi="Arial"/>
                  <w:sz w:val="18"/>
                  <w:szCs w:val="18"/>
                  <w:color w:val="0000FF"/>
                  <w:w w:val="98"/>
                </w:rPr>
                <w:t>Certification by Chief Financial Officer pursuant to Exchange Act Rule 13a-14(a), as adopted pursuant to Section 302 of the</w:t>
              </w:r>
            </w:hyperlink>
          </w:p>
        </w:tc>
        <w:tc>
          <w:tcPr>
            <w:tcW w:w="0" w:type="dxa"/>
            <w:vAlign w:val="bottom"/>
          </w:tcPr>
          <w:p>
            <w:pPr>
              <w:spacing w:after="0"/>
              <w:rPr>
                <w:sz w:val="1"/>
                <w:szCs w:val="1"/>
                <w:color w:val="auto"/>
              </w:rPr>
            </w:pPr>
          </w:p>
        </w:tc>
      </w:tr>
      <w:tr>
        <w:trPr>
          <w:trHeight w:val="128"/>
        </w:trPr>
        <w:tc>
          <w:tcPr>
            <w:tcW w:w="940" w:type="dxa"/>
            <w:vAlign w:val="bottom"/>
            <w:vMerge w:val="continue"/>
          </w:tcPr>
          <w:p>
            <w:pPr>
              <w:spacing w:after="0"/>
              <w:rPr>
                <w:sz w:val="11"/>
                <w:szCs w:val="11"/>
                <w:color w:val="auto"/>
              </w:rPr>
            </w:pPr>
          </w:p>
        </w:tc>
        <w:tc>
          <w:tcPr>
            <w:tcW w:w="56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w:t>
            </w:r>
          </w:p>
        </w:tc>
        <w:tc>
          <w:tcPr>
            <w:tcW w:w="8940" w:type="dxa"/>
            <w:vAlign w:val="bottom"/>
            <w:tcBorders>
              <w:top w:val="single" w:sz="8" w:color="0000FF"/>
            </w:tcBorders>
            <w:gridSpan w:val="3"/>
            <w:vMerge w:val="restart"/>
          </w:tcPr>
          <w:p>
            <w:pPr>
              <w:spacing w:after="0" w:line="196" w:lineRule="exact"/>
              <w:rPr>
                <w:rFonts w:ascii="Arial" w:cs="Arial" w:eastAsia="Arial" w:hAnsi="Arial"/>
                <w:sz w:val="18"/>
                <w:szCs w:val="18"/>
                <w:color w:val="0000FF"/>
              </w:rPr>
            </w:pPr>
            <w:hyperlink w:anchor="page60">
              <w:r>
                <w:rPr>
                  <w:rFonts w:ascii="Arial" w:cs="Arial" w:eastAsia="Arial" w:hAnsi="Arial"/>
                  <w:sz w:val="18"/>
                  <w:szCs w:val="18"/>
                  <w:color w:val="0000FF"/>
                </w:rPr>
                <w:t>Sarbanes-Oxley Act of 2002</w:t>
              </w:r>
            </w:hyperlink>
          </w:p>
        </w:tc>
        <w:tc>
          <w:tcPr>
            <w:tcW w:w="740" w:type="dxa"/>
            <w:vAlign w:val="bottom"/>
            <w:gridSpan w:val="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940" w:type="dxa"/>
            <w:vAlign w:val="bottom"/>
            <w:gridSpan w:val="3"/>
            <w:vMerge w:val="continue"/>
          </w:tcPr>
          <w:p>
            <w:pPr>
              <w:spacing w:after="0"/>
              <w:rPr>
                <w:sz w:val="5"/>
                <w:szCs w:val="5"/>
                <w:color w:val="auto"/>
              </w:rPr>
            </w:pPr>
          </w:p>
        </w:tc>
        <w:tc>
          <w:tcPr>
            <w:tcW w:w="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69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34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69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4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jc w:val="center"/>
              <w:ind w:left="10"/>
              <w:spacing w:after="0"/>
              <w:rPr>
                <w:sz w:val="20"/>
                <w:szCs w:val="20"/>
                <w:color w:val="auto"/>
              </w:rPr>
            </w:pPr>
            <w:r>
              <w:rPr>
                <w:rFonts w:ascii="Arial" w:cs="Arial" w:eastAsia="Arial" w:hAnsi="Arial"/>
                <w:sz w:val="18"/>
                <w:szCs w:val="18"/>
                <w:color w:val="auto"/>
                <w:w w:val="91"/>
              </w:rPr>
              <w:t>32.1</w:t>
            </w:r>
          </w:p>
        </w:tc>
        <w:tc>
          <w:tcPr>
            <w:tcW w:w="560" w:type="dxa"/>
            <w:vAlign w:val="bottom"/>
          </w:tcPr>
          <w:p>
            <w:pPr>
              <w:spacing w:after="0"/>
              <w:rPr>
                <w:sz w:val="17"/>
                <w:szCs w:val="17"/>
                <w:color w:val="auto"/>
              </w:rPr>
            </w:pPr>
          </w:p>
        </w:tc>
        <w:tc>
          <w:tcPr>
            <w:tcW w:w="9680" w:type="dxa"/>
            <w:vAlign w:val="bottom"/>
            <w:gridSpan w:val="7"/>
          </w:tcPr>
          <w:p>
            <w:pPr>
              <w:spacing w:after="0" w:line="202" w:lineRule="exact"/>
              <w:rPr>
                <w:rFonts w:ascii="Arial" w:cs="Arial" w:eastAsia="Arial" w:hAnsi="Arial"/>
                <w:sz w:val="18"/>
                <w:szCs w:val="18"/>
                <w:color w:val="0000FF"/>
                <w:w w:val="94"/>
              </w:rPr>
            </w:pPr>
            <w:hyperlink w:anchor="page61">
              <w:r>
                <w:rPr>
                  <w:rFonts w:ascii="Arial" w:cs="Arial" w:eastAsia="Arial" w:hAnsi="Arial"/>
                  <w:sz w:val="18"/>
                  <w:szCs w:val="18"/>
                  <w:color w:val="0000FF"/>
                  <w:w w:val="94"/>
                </w:rPr>
                <w:t>Certification by Chief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56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w:t>
            </w:r>
          </w:p>
        </w:tc>
        <w:tc>
          <w:tcPr>
            <w:tcW w:w="9300" w:type="dxa"/>
            <w:vAlign w:val="bottom"/>
            <w:tcBorders>
              <w:top w:val="single" w:sz="8" w:color="0000FF"/>
            </w:tcBorders>
            <w:gridSpan w:val="6"/>
            <w:vMerge w:val="restart"/>
          </w:tcPr>
          <w:p>
            <w:pPr>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Oxley Act of 2002</w:t>
              </w:r>
            </w:hyperlink>
          </w:p>
        </w:tc>
        <w:tc>
          <w:tcPr>
            <w:tcW w:w="38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9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9300" w:type="dxa"/>
            <w:vAlign w:val="bottom"/>
            <w:gridSpan w:val="6"/>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69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34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69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4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jc w:val="center"/>
              <w:ind w:left="10"/>
              <w:spacing w:after="0"/>
              <w:rPr>
                <w:sz w:val="20"/>
                <w:szCs w:val="20"/>
                <w:color w:val="auto"/>
              </w:rPr>
            </w:pPr>
            <w:r>
              <w:rPr>
                <w:rFonts w:ascii="Arial" w:cs="Arial" w:eastAsia="Arial" w:hAnsi="Arial"/>
                <w:sz w:val="18"/>
                <w:szCs w:val="18"/>
                <w:color w:val="auto"/>
                <w:w w:val="91"/>
              </w:rPr>
              <w:t>32.2</w:t>
            </w:r>
          </w:p>
        </w:tc>
        <w:tc>
          <w:tcPr>
            <w:tcW w:w="560" w:type="dxa"/>
            <w:vAlign w:val="bottom"/>
          </w:tcPr>
          <w:p>
            <w:pPr>
              <w:spacing w:after="0"/>
              <w:rPr>
                <w:sz w:val="17"/>
                <w:szCs w:val="17"/>
                <w:color w:val="auto"/>
              </w:rPr>
            </w:pPr>
          </w:p>
        </w:tc>
        <w:tc>
          <w:tcPr>
            <w:tcW w:w="9260" w:type="dxa"/>
            <w:vAlign w:val="bottom"/>
            <w:tcBorders>
              <w:bottom w:val="single" w:sz="8" w:color="0000FF"/>
            </w:tcBorders>
            <w:gridSpan w:val="5"/>
          </w:tcPr>
          <w:p>
            <w:pPr>
              <w:spacing w:after="0" w:line="202" w:lineRule="exact"/>
              <w:rPr>
                <w:rFonts w:ascii="Arial" w:cs="Arial" w:eastAsia="Arial" w:hAnsi="Arial"/>
                <w:sz w:val="18"/>
                <w:szCs w:val="18"/>
                <w:color w:val="0000FF"/>
                <w:w w:val="90"/>
              </w:rPr>
            </w:pPr>
            <w:hyperlink w:anchor="page62">
              <w:r>
                <w:rPr>
                  <w:rFonts w:ascii="Arial" w:cs="Arial" w:eastAsia="Arial" w:hAnsi="Arial"/>
                  <w:sz w:val="18"/>
                  <w:szCs w:val="18"/>
                  <w:color w:val="0000FF"/>
                  <w:w w:val="90"/>
                </w:rPr>
                <w:t>Certification by Chief Financial Officer pursuant to 18 U.S.C. Section 1350, as adopted pursuant to Section 906 of the Sarbanes-</w:t>
              </w:r>
            </w:hyperlink>
          </w:p>
        </w:tc>
        <w:tc>
          <w:tcPr>
            <w:tcW w:w="4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560" w:type="dxa"/>
            <w:vAlign w:val="bottom"/>
            <w:vMerge w:val="restart"/>
          </w:tcPr>
          <w:p>
            <w:pPr>
              <w:ind w:left="100"/>
              <w:spacing w:after="0" w:line="196" w:lineRule="exact"/>
              <w:rPr>
                <w:sz w:val="20"/>
                <w:szCs w:val="20"/>
                <w:color w:val="auto"/>
              </w:rPr>
            </w:pPr>
            <w:r>
              <w:rPr>
                <w:rFonts w:ascii="Arial" w:cs="Arial" w:eastAsia="Arial" w:hAnsi="Arial"/>
                <w:sz w:val="18"/>
                <w:szCs w:val="18"/>
                <w:color w:val="auto"/>
              </w:rPr>
              <w:t>**</w:t>
            </w:r>
          </w:p>
        </w:tc>
        <w:tc>
          <w:tcPr>
            <w:tcW w:w="9680" w:type="dxa"/>
            <w:vAlign w:val="bottom"/>
            <w:gridSpan w:val="7"/>
            <w:vMerge w:val="restart"/>
          </w:tcPr>
          <w:p>
            <w:pPr>
              <w:spacing w:after="0" w:line="196" w:lineRule="exact"/>
              <w:rPr>
                <w:rFonts w:ascii="Arial" w:cs="Arial" w:eastAsia="Arial" w:hAnsi="Arial"/>
                <w:sz w:val="18"/>
                <w:szCs w:val="18"/>
                <w:color w:val="0000FF"/>
              </w:rPr>
            </w:pPr>
            <w:hyperlink w:anchor="page62">
              <w:r>
                <w:rPr>
                  <w:rFonts w:ascii="Arial" w:cs="Arial" w:eastAsia="Arial" w:hAnsi="Arial"/>
                  <w:sz w:val="18"/>
                  <w:szCs w:val="18"/>
                  <w:color w:val="0000FF"/>
                </w:rPr>
                <w:t>Oxley Act of 2002</w:t>
              </w:r>
            </w:hyperlink>
          </w:p>
        </w:tc>
        <w:tc>
          <w:tcPr>
            <w:tcW w:w="0" w:type="dxa"/>
            <w:vAlign w:val="bottom"/>
          </w:tcPr>
          <w:p>
            <w:pPr>
              <w:spacing w:after="0"/>
              <w:rPr>
                <w:sz w:val="1"/>
                <w:szCs w:val="1"/>
                <w:color w:val="auto"/>
              </w:rPr>
            </w:pPr>
          </w:p>
        </w:tc>
      </w:tr>
      <w:tr>
        <w:trPr>
          <w:trHeight w:val="120"/>
        </w:trPr>
        <w:tc>
          <w:tcPr>
            <w:tcW w:w="9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96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69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34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69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4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40" w:type="dxa"/>
            <w:vAlign w:val="bottom"/>
            <w:vMerge w:val="restart"/>
          </w:tcPr>
          <w:p>
            <w:pPr>
              <w:jc w:val="center"/>
              <w:ind w:left="10"/>
              <w:spacing w:after="0"/>
              <w:rPr>
                <w:sz w:val="20"/>
                <w:szCs w:val="20"/>
                <w:color w:val="auto"/>
              </w:rPr>
            </w:pPr>
            <w:r>
              <w:rPr>
                <w:rFonts w:ascii="Arial" w:cs="Arial" w:eastAsia="Arial" w:hAnsi="Arial"/>
                <w:sz w:val="18"/>
                <w:szCs w:val="18"/>
                <w:color w:val="auto"/>
                <w:w w:val="92"/>
              </w:rPr>
              <w:t>101.INS</w:t>
            </w:r>
          </w:p>
        </w:tc>
        <w:tc>
          <w:tcPr>
            <w:tcW w:w="560" w:type="dxa"/>
            <w:vAlign w:val="bottom"/>
          </w:tcPr>
          <w:p>
            <w:pPr>
              <w:spacing w:after="0"/>
              <w:rPr>
                <w:sz w:val="19"/>
                <w:szCs w:val="19"/>
                <w:color w:val="auto"/>
              </w:rPr>
            </w:pPr>
          </w:p>
        </w:tc>
        <w:tc>
          <w:tcPr>
            <w:tcW w:w="9680" w:type="dxa"/>
            <w:vAlign w:val="bottom"/>
            <w:gridSpan w:val="7"/>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5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9680" w:type="dxa"/>
            <w:vAlign w:val="bottom"/>
            <w:gridSpan w:val="7"/>
            <w:vMerge w:val="restart"/>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6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34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69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4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560" w:type="dxa"/>
            <w:vAlign w:val="bottom"/>
          </w:tcPr>
          <w:p>
            <w:pPr>
              <w:ind w:left="100"/>
              <w:spacing w:after="0"/>
              <w:rPr>
                <w:sz w:val="20"/>
                <w:szCs w:val="20"/>
                <w:color w:val="auto"/>
              </w:rPr>
            </w:pPr>
            <w:r>
              <w:rPr>
                <w:rFonts w:ascii="Arial" w:cs="Arial" w:eastAsia="Arial" w:hAnsi="Arial"/>
                <w:sz w:val="18"/>
                <w:szCs w:val="18"/>
                <w:color w:val="auto"/>
              </w:rPr>
              <w:t>*</w:t>
            </w:r>
          </w:p>
        </w:tc>
        <w:tc>
          <w:tcPr>
            <w:tcW w:w="968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34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69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4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Pr>
          <w:p>
            <w:pPr>
              <w:jc w:val="center"/>
              <w:ind w:left="10"/>
              <w:spacing w:after="0"/>
              <w:rPr>
                <w:sz w:val="20"/>
                <w:szCs w:val="20"/>
                <w:color w:val="auto"/>
              </w:rPr>
            </w:pPr>
            <w:r>
              <w:rPr>
                <w:rFonts w:ascii="Arial" w:cs="Arial" w:eastAsia="Arial" w:hAnsi="Arial"/>
                <w:sz w:val="18"/>
                <w:szCs w:val="18"/>
                <w:color w:val="auto"/>
                <w:w w:val="97"/>
              </w:rPr>
              <w:t>101.CAL</w:t>
            </w:r>
          </w:p>
        </w:tc>
        <w:tc>
          <w:tcPr>
            <w:tcW w:w="560" w:type="dxa"/>
            <w:vAlign w:val="bottom"/>
          </w:tcPr>
          <w:p>
            <w:pPr>
              <w:ind w:left="100"/>
              <w:spacing w:after="0"/>
              <w:rPr>
                <w:sz w:val="20"/>
                <w:szCs w:val="20"/>
                <w:color w:val="auto"/>
              </w:rPr>
            </w:pPr>
            <w:r>
              <w:rPr>
                <w:rFonts w:ascii="Arial" w:cs="Arial" w:eastAsia="Arial" w:hAnsi="Arial"/>
                <w:sz w:val="18"/>
                <w:szCs w:val="18"/>
                <w:color w:val="auto"/>
              </w:rPr>
              <w:t>*</w:t>
            </w:r>
          </w:p>
        </w:tc>
        <w:tc>
          <w:tcPr>
            <w:tcW w:w="968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34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69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4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560" w:type="dxa"/>
            <w:vAlign w:val="bottom"/>
          </w:tcPr>
          <w:p>
            <w:pPr>
              <w:ind w:left="100"/>
              <w:spacing w:after="0"/>
              <w:rPr>
                <w:sz w:val="20"/>
                <w:szCs w:val="20"/>
                <w:color w:val="auto"/>
              </w:rPr>
            </w:pPr>
            <w:r>
              <w:rPr>
                <w:rFonts w:ascii="Arial" w:cs="Arial" w:eastAsia="Arial" w:hAnsi="Arial"/>
                <w:sz w:val="18"/>
                <w:szCs w:val="18"/>
                <w:color w:val="auto"/>
              </w:rPr>
              <w:t>*</w:t>
            </w:r>
          </w:p>
        </w:tc>
        <w:tc>
          <w:tcPr>
            <w:tcW w:w="968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34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69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4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Pr>
          <w:p>
            <w:pPr>
              <w:jc w:val="center"/>
              <w:ind w:left="10"/>
              <w:spacing w:after="0"/>
              <w:rPr>
                <w:sz w:val="20"/>
                <w:szCs w:val="20"/>
                <w:color w:val="auto"/>
              </w:rPr>
            </w:pPr>
            <w:r>
              <w:rPr>
                <w:rFonts w:ascii="Arial" w:cs="Arial" w:eastAsia="Arial" w:hAnsi="Arial"/>
                <w:sz w:val="18"/>
                <w:szCs w:val="18"/>
                <w:color w:val="auto"/>
                <w:w w:val="98"/>
              </w:rPr>
              <w:t>101.LAB</w:t>
            </w:r>
          </w:p>
        </w:tc>
        <w:tc>
          <w:tcPr>
            <w:tcW w:w="560" w:type="dxa"/>
            <w:vAlign w:val="bottom"/>
          </w:tcPr>
          <w:p>
            <w:pPr>
              <w:ind w:left="100"/>
              <w:spacing w:after="0"/>
              <w:rPr>
                <w:sz w:val="20"/>
                <w:szCs w:val="20"/>
                <w:color w:val="auto"/>
              </w:rPr>
            </w:pPr>
            <w:r>
              <w:rPr>
                <w:rFonts w:ascii="Arial" w:cs="Arial" w:eastAsia="Arial" w:hAnsi="Arial"/>
                <w:sz w:val="18"/>
                <w:szCs w:val="18"/>
                <w:color w:val="auto"/>
              </w:rPr>
              <w:t>*</w:t>
            </w:r>
          </w:p>
        </w:tc>
        <w:tc>
          <w:tcPr>
            <w:tcW w:w="968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34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69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4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Pr>
          <w:p>
            <w:pPr>
              <w:jc w:val="center"/>
              <w:ind w:left="10"/>
              <w:spacing w:after="0"/>
              <w:rPr>
                <w:sz w:val="20"/>
                <w:szCs w:val="20"/>
                <w:color w:val="auto"/>
              </w:rPr>
            </w:pPr>
            <w:r>
              <w:rPr>
                <w:rFonts w:ascii="Arial" w:cs="Arial" w:eastAsia="Arial" w:hAnsi="Arial"/>
                <w:sz w:val="18"/>
                <w:szCs w:val="18"/>
                <w:color w:val="auto"/>
                <w:w w:val="88"/>
              </w:rPr>
              <w:t>101.PRE</w:t>
            </w:r>
          </w:p>
        </w:tc>
        <w:tc>
          <w:tcPr>
            <w:tcW w:w="560" w:type="dxa"/>
            <w:vAlign w:val="bottom"/>
          </w:tcPr>
          <w:p>
            <w:pPr>
              <w:ind w:left="100"/>
              <w:spacing w:after="0"/>
              <w:rPr>
                <w:sz w:val="20"/>
                <w:szCs w:val="20"/>
                <w:color w:val="auto"/>
              </w:rPr>
            </w:pPr>
            <w:r>
              <w:rPr>
                <w:rFonts w:ascii="Arial" w:cs="Arial" w:eastAsia="Arial" w:hAnsi="Arial"/>
                <w:sz w:val="18"/>
                <w:szCs w:val="18"/>
                <w:color w:val="auto"/>
              </w:rPr>
              <w:t>*</w:t>
            </w:r>
          </w:p>
        </w:tc>
        <w:tc>
          <w:tcPr>
            <w:tcW w:w="968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34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69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4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right="5280" w:firstLine="379"/>
        <w:spacing w:after="0" w:line="391" w:lineRule="auto"/>
        <w:tabs>
          <w:tab w:leader="none" w:pos="1039" w:val="left"/>
        </w:tabs>
        <w:numPr>
          <w:ilvl w:val="1"/>
          <w:numId w:val="32"/>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 Filed herewith</w:t>
      </w: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80"/>
          </w:cols>
          <w:pgMar w:left="320" w:top="557" w:right="399" w:bottom="1440" w:gutter="0" w:footer="0" w:header="0"/>
        </w:sectPr>
      </w:pPr>
    </w:p>
    <w:bookmarkStart w:id="57" w:name="page58"/>
    <w:bookmarkEnd w:id="57"/>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7680" w:type="dxa"/>
            <w:vAlign w:val="bottom"/>
            <w:gridSpan w:val="3"/>
          </w:tcPr>
          <w:p>
            <w:pPr>
              <w:ind w:left="1640"/>
              <w:spacing w:after="0"/>
              <w:rPr>
                <w:sz w:val="20"/>
                <w:szCs w:val="20"/>
                <w:color w:val="auto"/>
              </w:rPr>
            </w:pPr>
            <w:r>
              <w:rPr>
                <w:rFonts w:ascii="Arial" w:cs="Arial" w:eastAsia="Arial" w:hAnsi="Arial"/>
                <w:sz w:val="18"/>
                <w:szCs w:val="18"/>
                <w:b w:val="1"/>
                <w:bCs w:val="1"/>
                <w:color w:val="auto"/>
              </w:rPr>
              <w:t>LIVEPERSON, INC.</w:t>
            </w:r>
          </w:p>
        </w:tc>
      </w:tr>
      <w:tr>
        <w:trPr>
          <w:trHeight w:val="270"/>
        </w:trPr>
        <w:tc>
          <w:tcPr>
            <w:tcW w:w="5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520" w:type="dxa"/>
            <w:vAlign w:val="bottom"/>
            <w:gridSpan w:val="2"/>
          </w:tcPr>
          <w:p>
            <w:pPr>
              <w:ind w:left="1640"/>
              <w:spacing w:after="0"/>
              <w:rPr>
                <w:sz w:val="20"/>
                <w:szCs w:val="20"/>
                <w:color w:val="auto"/>
              </w:rPr>
            </w:pPr>
            <w:r>
              <w:rPr>
                <w:rFonts w:ascii="Arial" w:cs="Arial" w:eastAsia="Arial" w:hAnsi="Arial"/>
                <w:sz w:val="18"/>
                <w:szCs w:val="18"/>
                <w:color w:val="auto"/>
                <w:w w:val="91"/>
              </w:rPr>
              <w:t>(Registrant)</w:t>
            </w:r>
          </w:p>
        </w:tc>
        <w:tc>
          <w:tcPr>
            <w:tcW w:w="5160" w:type="dxa"/>
            <w:vAlign w:val="bottom"/>
          </w:tcPr>
          <w:p>
            <w:pPr>
              <w:spacing w:after="0"/>
              <w:rPr>
                <w:sz w:val="23"/>
                <w:szCs w:val="23"/>
                <w:color w:val="auto"/>
              </w:rPr>
            </w:pP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780" w:type="dxa"/>
            <w:vAlign w:val="bottom"/>
          </w:tcPr>
          <w:p>
            <w:pPr>
              <w:ind w:left="140"/>
              <w:spacing w:after="0"/>
              <w:rPr>
                <w:sz w:val="20"/>
                <w:szCs w:val="20"/>
                <w:color w:val="auto"/>
              </w:rPr>
            </w:pPr>
            <w:r>
              <w:rPr>
                <w:rFonts w:ascii="Arial" w:cs="Arial" w:eastAsia="Arial" w:hAnsi="Arial"/>
                <w:sz w:val="18"/>
                <w:szCs w:val="18"/>
                <w:color w:val="auto"/>
              </w:rPr>
              <w:t>May 11, 2020</w:t>
            </w:r>
          </w:p>
        </w:tc>
        <w:tc>
          <w:tcPr>
            <w:tcW w:w="2520" w:type="dxa"/>
            <w:vAlign w:val="bottom"/>
            <w:gridSpan w:val="2"/>
          </w:tcPr>
          <w:p>
            <w:pPr>
              <w:ind w:left="1640"/>
              <w:spacing w:after="0"/>
              <w:rPr>
                <w:sz w:val="20"/>
                <w:szCs w:val="20"/>
                <w:color w:val="auto"/>
              </w:rPr>
            </w:pPr>
            <w:r>
              <w:rPr>
                <w:rFonts w:ascii="Arial" w:cs="Arial" w:eastAsia="Arial" w:hAnsi="Arial"/>
                <w:sz w:val="18"/>
                <w:szCs w:val="18"/>
                <w:color w:val="auto"/>
              </w:rPr>
              <w:t>By:</w:t>
            </w:r>
          </w:p>
        </w:tc>
        <w:tc>
          <w:tcPr>
            <w:tcW w:w="5160" w:type="dxa"/>
            <w:vAlign w:val="bottom"/>
          </w:tcPr>
          <w:p>
            <w:pPr>
              <w:spacing w:after="0"/>
              <w:rPr>
                <w:sz w:val="20"/>
                <w:szCs w:val="20"/>
                <w:color w:val="auto"/>
              </w:rPr>
            </w:pPr>
            <w:r>
              <w:rPr>
                <w:rFonts w:ascii="Arial" w:cs="Arial" w:eastAsia="Arial" w:hAnsi="Arial"/>
                <w:sz w:val="18"/>
                <w:szCs w:val="18"/>
                <w:color w:val="auto"/>
              </w:rPr>
              <w:t>/s/ ROBERT P. LOCASCIO</w:t>
            </w:r>
          </w:p>
        </w:tc>
      </w:tr>
      <w:tr>
        <w:trPr>
          <w:trHeight w:val="27"/>
        </w:trPr>
        <w:tc>
          <w:tcPr>
            <w:tcW w:w="5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520" w:type="dxa"/>
            <w:vAlign w:val="bottom"/>
            <w:gridSpan w:val="2"/>
          </w:tcPr>
          <w:p>
            <w:pPr>
              <w:ind w:left="1640"/>
              <w:spacing w:after="0"/>
              <w:rPr>
                <w:sz w:val="20"/>
                <w:szCs w:val="20"/>
                <w:color w:val="auto"/>
              </w:rPr>
            </w:pPr>
            <w:r>
              <w:rPr>
                <w:rFonts w:ascii="Arial" w:cs="Arial" w:eastAsia="Arial" w:hAnsi="Arial"/>
                <w:sz w:val="18"/>
                <w:szCs w:val="18"/>
                <w:color w:val="auto"/>
              </w:rPr>
              <w:t>Name:</w:t>
            </w:r>
          </w:p>
        </w:tc>
        <w:tc>
          <w:tcPr>
            <w:tcW w:w="5160" w:type="dxa"/>
            <w:vAlign w:val="bottom"/>
          </w:tcPr>
          <w:p>
            <w:pPr>
              <w:spacing w:after="0"/>
              <w:rPr>
                <w:sz w:val="20"/>
                <w:szCs w:val="20"/>
                <w:color w:val="auto"/>
              </w:rPr>
            </w:pPr>
            <w:r>
              <w:rPr>
                <w:rFonts w:ascii="Arial" w:cs="Arial" w:eastAsia="Arial" w:hAnsi="Arial"/>
                <w:sz w:val="18"/>
                <w:szCs w:val="18"/>
                <w:color w:val="auto"/>
              </w:rPr>
              <w:t>Robert P. LoCascio</w:t>
            </w:r>
          </w:p>
        </w:tc>
      </w:tr>
      <w:tr>
        <w:trPr>
          <w:trHeight w:val="270"/>
        </w:trPr>
        <w:tc>
          <w:tcPr>
            <w:tcW w:w="5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520" w:type="dxa"/>
            <w:vAlign w:val="bottom"/>
            <w:gridSpan w:val="2"/>
          </w:tcPr>
          <w:p>
            <w:pPr>
              <w:ind w:left="1640"/>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780" w:type="dxa"/>
            <w:vAlign w:val="bottom"/>
          </w:tcPr>
          <w:p>
            <w:pPr>
              <w:ind w:left="140"/>
              <w:spacing w:after="0"/>
              <w:rPr>
                <w:sz w:val="20"/>
                <w:szCs w:val="20"/>
                <w:color w:val="auto"/>
              </w:rPr>
            </w:pPr>
            <w:r>
              <w:rPr>
                <w:rFonts w:ascii="Arial" w:cs="Arial" w:eastAsia="Arial" w:hAnsi="Arial"/>
                <w:sz w:val="18"/>
                <w:szCs w:val="18"/>
                <w:color w:val="auto"/>
              </w:rPr>
              <w:t>May 11, 2020</w:t>
            </w:r>
          </w:p>
        </w:tc>
        <w:tc>
          <w:tcPr>
            <w:tcW w:w="2520" w:type="dxa"/>
            <w:vAlign w:val="bottom"/>
            <w:gridSpan w:val="2"/>
          </w:tcPr>
          <w:p>
            <w:pPr>
              <w:ind w:left="1640"/>
              <w:spacing w:after="0"/>
              <w:rPr>
                <w:sz w:val="20"/>
                <w:szCs w:val="20"/>
                <w:color w:val="auto"/>
              </w:rPr>
            </w:pPr>
            <w:r>
              <w:rPr>
                <w:rFonts w:ascii="Arial" w:cs="Arial" w:eastAsia="Arial" w:hAnsi="Arial"/>
                <w:sz w:val="18"/>
                <w:szCs w:val="18"/>
                <w:color w:val="auto"/>
              </w:rPr>
              <w:t>By:</w:t>
            </w:r>
          </w:p>
        </w:tc>
        <w:tc>
          <w:tcPr>
            <w:tcW w:w="5160" w:type="dxa"/>
            <w:vAlign w:val="bottom"/>
          </w:tcPr>
          <w:p>
            <w:pPr>
              <w:spacing w:after="0"/>
              <w:rPr>
                <w:sz w:val="20"/>
                <w:szCs w:val="20"/>
                <w:color w:val="auto"/>
              </w:rPr>
            </w:pPr>
            <w:r>
              <w:rPr>
                <w:rFonts w:ascii="Arial" w:cs="Arial" w:eastAsia="Arial" w:hAnsi="Arial"/>
                <w:sz w:val="18"/>
                <w:szCs w:val="18"/>
                <w:color w:val="auto"/>
              </w:rPr>
              <w:t>/s/ JOHN COLLINS</w:t>
            </w:r>
          </w:p>
        </w:tc>
      </w:tr>
      <w:tr>
        <w:trPr>
          <w:trHeight w:val="27"/>
        </w:trPr>
        <w:tc>
          <w:tcPr>
            <w:tcW w:w="5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520" w:type="dxa"/>
            <w:vAlign w:val="bottom"/>
            <w:gridSpan w:val="2"/>
          </w:tcPr>
          <w:p>
            <w:pPr>
              <w:ind w:left="1640"/>
              <w:spacing w:after="0"/>
              <w:rPr>
                <w:sz w:val="20"/>
                <w:szCs w:val="20"/>
                <w:color w:val="auto"/>
              </w:rPr>
            </w:pPr>
            <w:r>
              <w:rPr>
                <w:rFonts w:ascii="Arial" w:cs="Arial" w:eastAsia="Arial" w:hAnsi="Arial"/>
                <w:sz w:val="18"/>
                <w:szCs w:val="18"/>
                <w:color w:val="auto"/>
              </w:rPr>
              <w:t>Name:</w:t>
            </w:r>
          </w:p>
        </w:tc>
        <w:tc>
          <w:tcPr>
            <w:tcW w:w="5160" w:type="dxa"/>
            <w:vAlign w:val="bottom"/>
          </w:tcPr>
          <w:p>
            <w:pPr>
              <w:spacing w:after="0"/>
              <w:rPr>
                <w:sz w:val="20"/>
                <w:szCs w:val="20"/>
                <w:color w:val="auto"/>
              </w:rPr>
            </w:pPr>
            <w:r>
              <w:rPr>
                <w:rFonts w:ascii="Arial" w:cs="Arial" w:eastAsia="Arial" w:hAnsi="Arial"/>
                <w:sz w:val="18"/>
                <w:szCs w:val="18"/>
                <w:color w:val="auto"/>
              </w:rPr>
              <w:t>John Collins</w:t>
            </w:r>
          </w:p>
        </w:tc>
      </w:tr>
      <w:tr>
        <w:trPr>
          <w:trHeight w:val="270"/>
        </w:trPr>
        <w:tc>
          <w:tcPr>
            <w:tcW w:w="5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520" w:type="dxa"/>
            <w:vAlign w:val="bottom"/>
            <w:gridSpan w:val="2"/>
          </w:tcPr>
          <w:p>
            <w:pPr>
              <w:ind w:left="1640"/>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567"/>
        </w:trPr>
        <w:tc>
          <w:tcPr>
            <w:tcW w:w="5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500" w:type="dxa"/>
            <w:vAlign w:val="bottom"/>
          </w:tcPr>
          <w:p>
            <w:pPr>
              <w:ind w:left="220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ectPr>
          <w:pgSz w:w="11900" w:h="16838" w:orient="portrait"/>
          <w:cols w:equalWidth="0" w:num="1">
            <w:col w:w="11020"/>
          </w:cols>
          <w:pgMar w:left="320" w:top="553" w:right="55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ind w:left="340" w:right="18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340" w:right="18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left="340" w:right="14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sz w:val="20"/>
          <w:szCs w:val="20"/>
          <w:color w:val="auto"/>
        </w:rPr>
      </w:pPr>
    </w:p>
    <w:p>
      <w:pPr>
        <w:ind w:left="340" w:right="1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240"/>
              <w:spacing w:after="0"/>
              <w:rPr>
                <w:sz w:val="20"/>
                <w:szCs w:val="20"/>
                <w:color w:val="auto"/>
              </w:rPr>
            </w:pPr>
            <w:r>
              <w:rPr>
                <w:rFonts w:ascii="Arial" w:cs="Arial" w:eastAsia="Arial" w:hAnsi="Arial"/>
                <w:sz w:val="18"/>
                <w:szCs w:val="18"/>
                <w:color w:val="auto"/>
              </w:rPr>
              <w:t>May 11, 2020</w:t>
            </w:r>
          </w:p>
        </w:tc>
        <w:tc>
          <w:tcPr>
            <w:tcW w:w="2480" w:type="dxa"/>
            <w:vAlign w:val="bottom"/>
          </w:tcPr>
          <w:p>
            <w:pPr>
              <w:ind w:left="1720"/>
              <w:spacing w:after="0"/>
              <w:rPr>
                <w:sz w:val="20"/>
                <w:szCs w:val="20"/>
                <w:color w:val="auto"/>
              </w:rPr>
            </w:pPr>
            <w:r>
              <w:rPr>
                <w:rFonts w:ascii="Arial" w:cs="Arial" w:eastAsia="Arial" w:hAnsi="Arial"/>
                <w:sz w:val="18"/>
                <w:szCs w:val="18"/>
                <w:color w:val="auto"/>
              </w:rPr>
              <w:t>By:</w:t>
            </w:r>
          </w:p>
        </w:tc>
        <w:tc>
          <w:tcPr>
            <w:tcW w:w="498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80" w:type="dxa"/>
            <w:vAlign w:val="bottom"/>
            <w:vMerge w:val="restart"/>
          </w:tcPr>
          <w:p>
            <w:pPr>
              <w:ind w:left="1720"/>
              <w:spacing w:after="0"/>
              <w:rPr>
                <w:sz w:val="20"/>
                <w:szCs w:val="20"/>
                <w:color w:val="auto"/>
              </w:rPr>
            </w:pPr>
            <w:r>
              <w:rPr>
                <w:rFonts w:ascii="Arial" w:cs="Arial" w:eastAsia="Arial" w:hAnsi="Arial"/>
                <w:sz w:val="18"/>
                <w:szCs w:val="18"/>
                <w:color w:val="auto"/>
              </w:rPr>
              <w:t>Name:</w:t>
            </w:r>
          </w:p>
        </w:tc>
        <w:tc>
          <w:tcPr>
            <w:tcW w:w="4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80" w:type="dxa"/>
            <w:vAlign w:val="bottom"/>
            <w:vMerge w:val="continue"/>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480" w:type="dxa"/>
            <w:vAlign w:val="bottom"/>
          </w:tcPr>
          <w:p>
            <w:pPr>
              <w:ind w:left="1720"/>
              <w:spacing w:after="0"/>
              <w:rPr>
                <w:sz w:val="20"/>
                <w:szCs w:val="20"/>
                <w:color w:val="auto"/>
              </w:rPr>
            </w:pPr>
            <w:r>
              <w:rPr>
                <w:rFonts w:ascii="Arial" w:cs="Arial" w:eastAsia="Arial" w:hAnsi="Arial"/>
                <w:sz w:val="18"/>
                <w:szCs w:val="18"/>
                <w:color w:val="auto"/>
              </w:rPr>
              <w:t>Title:</w:t>
            </w:r>
          </w:p>
        </w:tc>
        <w:tc>
          <w:tcPr>
            <w:tcW w:w="49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Collins, certify that:</w:t>
      </w:r>
    </w:p>
    <w:p>
      <w:pPr>
        <w:spacing w:after="0" w:line="171"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ind w:left="340" w:right="18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340" w:right="18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left="340" w:right="14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sz w:val="20"/>
          <w:szCs w:val="20"/>
          <w:color w:val="auto"/>
        </w:rPr>
      </w:pPr>
    </w:p>
    <w:p>
      <w:pPr>
        <w:ind w:left="340" w:right="1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100"/>
        <w:spacing w:after="0"/>
        <w:tabs>
          <w:tab w:leader="none" w:pos="980" w:val="left"/>
          <w:tab w:leader="none" w:pos="5200" w:val="left"/>
          <w:tab w:leader="none" w:pos="5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089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43" w:lineRule="exact"/>
        <w:rPr>
          <w:sz w:val="20"/>
          <w:szCs w:val="20"/>
          <w:color w:val="auto"/>
        </w:rPr>
      </w:pPr>
    </w:p>
    <w:p>
      <w:pPr>
        <w:ind w:left="5220"/>
        <w:spacing w:after="0"/>
        <w:tabs>
          <w:tab w:leader="none" w:pos="5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Collins</w:t>
      </w:r>
    </w:p>
    <w:p>
      <w:pPr>
        <w:spacing w:after="0" w:line="77" w:lineRule="exact"/>
        <w:rPr>
          <w:sz w:val="20"/>
          <w:szCs w:val="20"/>
          <w:color w:val="auto"/>
        </w:rPr>
      </w:pPr>
    </w:p>
    <w:p>
      <w:pPr>
        <w:ind w:left="522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 (principal financial officer)</w:t>
      </w:r>
    </w:p>
    <w:p>
      <w:pPr>
        <w:sectPr>
          <w:pgSz w:w="11900" w:h="16838" w:orient="portrait"/>
          <w:cols w:equalWidth="0" w:num="1">
            <w:col w:w="11240"/>
          </w:cols>
          <w:pgMar w:left="32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 Robert P. LoCascio, Chief Executive Officer of LivePerson, Inc. (the “Company”),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ind w:left="660" w:right="12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March 31, 2020,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940" w:type="dxa"/>
            <w:vAlign w:val="bottom"/>
          </w:tcPr>
          <w:p>
            <w:pPr>
              <w:ind w:left="200"/>
              <w:spacing w:after="0"/>
              <w:rPr>
                <w:sz w:val="20"/>
                <w:szCs w:val="20"/>
                <w:color w:val="auto"/>
              </w:rPr>
            </w:pPr>
            <w:r>
              <w:rPr>
                <w:rFonts w:ascii="Arial" w:cs="Arial" w:eastAsia="Arial" w:hAnsi="Arial"/>
                <w:sz w:val="18"/>
                <w:szCs w:val="18"/>
                <w:color w:val="auto"/>
              </w:rPr>
              <w:t>May 11, 2020</w:t>
            </w:r>
          </w:p>
        </w:tc>
        <w:tc>
          <w:tcPr>
            <w:tcW w:w="2500" w:type="dxa"/>
            <w:vAlign w:val="bottom"/>
          </w:tcPr>
          <w:p>
            <w:pPr>
              <w:ind w:left="1760"/>
              <w:spacing w:after="0"/>
              <w:rPr>
                <w:sz w:val="20"/>
                <w:szCs w:val="20"/>
                <w:color w:val="auto"/>
              </w:rPr>
            </w:pPr>
            <w:r>
              <w:rPr>
                <w:rFonts w:ascii="Arial" w:cs="Arial" w:eastAsia="Arial" w:hAnsi="Arial"/>
                <w:sz w:val="18"/>
                <w:szCs w:val="18"/>
                <w:color w:val="auto"/>
              </w:rPr>
              <w:t>By:</w:t>
            </w:r>
          </w:p>
        </w:tc>
        <w:tc>
          <w:tcPr>
            <w:tcW w:w="492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500" w:type="dxa"/>
            <w:vAlign w:val="bottom"/>
            <w:vMerge w:val="restart"/>
          </w:tcPr>
          <w:p>
            <w:pPr>
              <w:ind w:left="1760"/>
              <w:spacing w:after="0"/>
              <w:rPr>
                <w:sz w:val="20"/>
                <w:szCs w:val="20"/>
                <w:color w:val="auto"/>
              </w:rPr>
            </w:pPr>
            <w:r>
              <w:rPr>
                <w:rFonts w:ascii="Arial" w:cs="Arial" w:eastAsia="Arial" w:hAnsi="Arial"/>
                <w:sz w:val="18"/>
                <w:szCs w:val="18"/>
                <w:color w:val="auto"/>
              </w:rPr>
              <w:t>Name:</w:t>
            </w:r>
          </w:p>
        </w:tc>
        <w:tc>
          <w:tcPr>
            <w:tcW w:w="4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500" w:type="dxa"/>
            <w:vAlign w:val="bottom"/>
            <w:vMerge w:val="continue"/>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56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2500" w:type="dxa"/>
            <w:vAlign w:val="bottom"/>
          </w:tcPr>
          <w:p>
            <w:pPr>
              <w:ind w:left="1760"/>
              <w:spacing w:after="0"/>
              <w:rPr>
                <w:sz w:val="20"/>
                <w:szCs w:val="20"/>
                <w:color w:val="auto"/>
              </w:rPr>
            </w:pPr>
            <w:r>
              <w:rPr>
                <w:rFonts w:ascii="Arial" w:cs="Arial" w:eastAsia="Arial" w:hAnsi="Arial"/>
                <w:sz w:val="18"/>
                <w:szCs w:val="18"/>
                <w:color w:val="auto"/>
              </w:rPr>
              <w:t>Title:</w:t>
            </w:r>
          </w:p>
        </w:tc>
        <w:tc>
          <w:tcPr>
            <w:tcW w:w="492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240"/>
          </w:cols>
          <w:pgMar w:left="320" w:top="12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 John Collins, Chief Financial Officer of LivePerson, Inc. (the “Company”), certify, pursuant to 18 U.S.C. Section 1350, as adopted pursuant to Section 906 of the Sarbanes-Oxley Act of 2002, that:</w:t>
      </w:r>
    </w:p>
    <w:p>
      <w:pPr>
        <w:spacing w:after="0" w:line="116" w:lineRule="exact"/>
        <w:rPr>
          <w:sz w:val="20"/>
          <w:szCs w:val="20"/>
          <w:color w:val="auto"/>
        </w:rPr>
      </w:pPr>
    </w:p>
    <w:p>
      <w:pPr>
        <w:ind w:left="660" w:right="12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March 31, 2020,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140"/>
        <w:spacing w:after="0"/>
        <w:tabs>
          <w:tab w:leader="none" w:pos="1120" w:val="left"/>
          <w:tab w:leader="none" w:pos="5640" w:val="left"/>
          <w:tab w:leader="none" w:pos="6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31750</wp:posOffset>
            </wp:positionV>
            <wp:extent cx="30086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43" w:lineRule="exact"/>
        <w:rPr>
          <w:sz w:val="20"/>
          <w:szCs w:val="20"/>
          <w:color w:val="auto"/>
        </w:rPr>
      </w:pPr>
    </w:p>
    <w:p>
      <w:pPr>
        <w:ind w:left="5660"/>
        <w:spacing w:after="0"/>
        <w:tabs>
          <w:tab w:leader="none" w:pos="64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Collins</w:t>
      </w:r>
    </w:p>
    <w:p>
      <w:pPr>
        <w:spacing w:after="0" w:line="77" w:lineRule="exact"/>
        <w:rPr>
          <w:sz w:val="20"/>
          <w:szCs w:val="20"/>
          <w:color w:val="auto"/>
        </w:rPr>
      </w:pPr>
    </w:p>
    <w:p>
      <w:pPr>
        <w:ind w:left="5660"/>
        <w:spacing w:after="0"/>
        <w:tabs>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 (principal financial officer)</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2"/>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4"/>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6"/>
    </w:lvl>
  </w:abstractNum>
  <w:abstractNum w:abstractNumId="12">
    <w:nsid w:val="2CA88611"/>
    <w:multiLevelType w:val="hybridMultilevel"/>
    <w:lvl w:ilvl="0">
      <w:lvlJc w:val="left"/>
      <w:lvlText w:val="%1."/>
      <w:numFmt w:val="decimal"/>
      <w:start w:val="7"/>
    </w:lvl>
  </w:abstractNum>
  <w:abstractNum w:abstractNumId="13">
    <w:nsid w:val="836C40E"/>
    <w:multiLevelType w:val="hybridMultilevel"/>
    <w:lvl w:ilvl="0">
      <w:lvlJc w:val="left"/>
      <w:lvlText w:val="%1."/>
      <w:numFmt w:val="decimal"/>
      <w:start w:val="8"/>
    </w:lvl>
  </w:abstractNum>
  <w:abstractNum w:abstractNumId="14">
    <w:nsid w:val="2901D82"/>
    <w:multiLevelType w:val="hybridMultilevel"/>
    <w:lvl w:ilvl="0">
      <w:lvlJc w:val="left"/>
      <w:lvlText w:val="%1."/>
      <w:numFmt w:val="decimal"/>
      <w:start w:val="9"/>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lvl w:ilvl="1">
      <w:lvlJc w:val="left"/>
      <w:lvlText w:val="%2"/>
      <w:numFmt w:val="decimal"/>
      <w:start w:val="104"/>
    </w:lvl>
  </w:abstractNum>
  <w:abstractNum w:abstractNumId="32">
    <w:nsid w:val="5C482A97"/>
    <w:multiLevelType w:val="hybridMultilevel"/>
    <w:lvl w:ilvl="0">
      <w:lvlJc w:val="left"/>
      <w:lvlText w:val="**"/>
      <w:numFmt w:val="bullet"/>
      <w:start w:val="1"/>
    </w:lvl>
    <w:lvl w:ilvl="1">
      <w:lvlJc w:val="left"/>
      <w:lvlText w:val="%2"/>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2020-05-11T16:01:06Z</dcterms:created>
  <dcterms:modified xsi:type="dcterms:W3CDTF">2020-05-11T16:01:06Z</dcterms:modified>
</cp:coreProperties>
</file>