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6"/>
          <w:szCs w:val="16"/>
          <w:b w:val="1"/>
          <w:bCs w:val="1"/>
          <w:color w:val="auto"/>
        </w:rPr>
        <w:t>UNITED STATES</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FORM 10-Q</w:t>
      </w:r>
    </w:p>
    <w:p>
      <w:pPr>
        <w:spacing w:after="0" w:line="189" w:lineRule="exact"/>
        <w:rPr>
          <w:sz w:val="24"/>
          <w:szCs w:val="24"/>
          <w:color w:val="auto"/>
        </w:rPr>
      </w:pPr>
    </w:p>
    <w:p>
      <w:pPr>
        <w:jc w:val="both"/>
        <w:ind w:left="4140" w:right="4040" w:hanging="27"/>
        <w:spacing w:after="0" w:line="334" w:lineRule="auto"/>
        <w:tabs>
          <w:tab w:leader="none" w:pos="449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EXCHANGE ACT OF 1934</w:t>
      </w:r>
    </w:p>
    <w:p>
      <w:pPr>
        <w:spacing w:after="0" w:line="9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9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96" w:lineRule="exact"/>
        <w:rPr>
          <w:sz w:val="24"/>
          <w:szCs w:val="24"/>
          <w:color w:val="auto"/>
        </w:rPr>
      </w:pPr>
    </w:p>
    <w:p>
      <w:pPr>
        <w:jc w:val="center"/>
        <w:ind w:left="4680" w:right="2460" w:hanging="2152"/>
        <w:spacing w:after="0" w:line="268" w:lineRule="auto"/>
        <w:tabs>
          <w:tab w:leader="none" w:pos="269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6" w:lineRule="exact"/>
        <w:rPr>
          <w:sz w:val="24"/>
          <w:szCs w:val="24"/>
          <w:color w:val="auto"/>
        </w:rPr>
      </w:pPr>
    </w:p>
    <w:p>
      <w:pPr>
        <w:ind w:left="2940"/>
        <w:spacing w:after="0"/>
        <w:rPr>
          <w:sz w:val="20"/>
          <w:szCs w:val="20"/>
          <w:color w:val="auto"/>
        </w:rPr>
      </w:pPr>
      <w:r>
        <w:rPr>
          <w:rFonts w:ascii="Arial" w:cs="Arial" w:eastAsia="Arial" w:hAnsi="Arial"/>
          <w:sz w:val="16"/>
          <w:szCs w:val="16"/>
          <w:b w:val="1"/>
          <w:bCs w:val="1"/>
          <w:color w:val="auto"/>
        </w:rPr>
        <w:t>For the transition period from ____________________ to ____________________</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000-30141</w:t>
      </w: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27305</wp:posOffset>
            </wp:positionV>
            <wp:extent cx="707644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6440" cy="14605"/>
                    </a:xfrm>
                    <a:prstGeom prst="rect">
                      <a:avLst/>
                    </a:prstGeom>
                    <a:noFill/>
                  </pic:spPr>
                </pic:pic>
              </a:graphicData>
            </a:graphic>
          </wp:anchor>
        </w:drawing>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pacing w:after="0" w:line="260" w:lineRule="exact"/>
        <w:rPr>
          <w:sz w:val="24"/>
          <w:szCs w:val="24"/>
          <w:color w:val="auto"/>
        </w:rPr>
      </w:pPr>
    </w:p>
    <w:tbl>
      <w:tblPr>
        <w:tblLayout w:type="fixed"/>
        <w:tblInd w:w="80" w:type="dxa"/>
        <w:tblCellMar>
          <w:top w:w="0" w:type="dxa"/>
          <w:left w:w="0" w:type="dxa"/>
          <w:bottom w:w="0" w:type="dxa"/>
          <w:right w:w="0" w:type="dxa"/>
        </w:tblCellMar>
      </w:tblPr>
      <w:tr>
        <w:trPr>
          <w:trHeight w:val="199"/>
        </w:trPr>
        <w:tc>
          <w:tcPr>
            <w:tcW w:w="1520" w:type="dxa"/>
            <w:vAlign w:val="bottom"/>
          </w:tcPr>
          <w:p>
            <w:pPr>
              <w:spacing w:after="0"/>
              <w:rPr>
                <w:sz w:val="17"/>
                <w:szCs w:val="17"/>
                <w:color w:val="auto"/>
              </w:rPr>
            </w:pPr>
          </w:p>
        </w:tc>
        <w:tc>
          <w:tcPr>
            <w:tcW w:w="3220" w:type="dxa"/>
            <w:vAlign w:val="bottom"/>
          </w:tcPr>
          <w:p>
            <w:pPr>
              <w:jc w:val="center"/>
              <w:ind w:left="385"/>
              <w:spacing w:after="0"/>
              <w:rPr>
                <w:sz w:val="20"/>
                <w:szCs w:val="20"/>
                <w:color w:val="auto"/>
              </w:rPr>
            </w:pPr>
            <w:r>
              <w:rPr>
                <w:rFonts w:ascii="Arial" w:cs="Arial" w:eastAsia="Arial" w:hAnsi="Arial"/>
                <w:sz w:val="16"/>
                <w:szCs w:val="16"/>
                <w:color w:val="auto"/>
                <w:w w:val="88"/>
              </w:rPr>
              <w:t>Delaware</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0" w:type="dxa"/>
            <w:vAlign w:val="bottom"/>
          </w:tcPr>
          <w:p>
            <w:pPr>
              <w:jc w:val="right"/>
              <w:ind w:right="1446"/>
              <w:spacing w:after="0"/>
              <w:rPr>
                <w:sz w:val="20"/>
                <w:szCs w:val="20"/>
                <w:color w:val="auto"/>
              </w:rPr>
            </w:pPr>
            <w:r>
              <w:rPr>
                <w:rFonts w:ascii="Arial" w:cs="Arial" w:eastAsia="Arial" w:hAnsi="Arial"/>
                <w:sz w:val="16"/>
                <w:szCs w:val="16"/>
                <w:color w:val="auto"/>
              </w:rPr>
              <w:t>13-3861628</w:t>
            </w:r>
          </w:p>
        </w:tc>
        <w:tc>
          <w:tcPr>
            <w:tcW w:w="1520" w:type="dxa"/>
            <w:vAlign w:val="bottom"/>
          </w:tcPr>
          <w:p>
            <w:pPr>
              <w:spacing w:after="0"/>
              <w:rPr>
                <w:sz w:val="17"/>
                <w:szCs w:val="17"/>
                <w:color w:val="auto"/>
              </w:rPr>
            </w:pPr>
          </w:p>
        </w:tc>
      </w:tr>
      <w:tr>
        <w:trPr>
          <w:trHeight w:val="27"/>
        </w:trPr>
        <w:tc>
          <w:tcPr>
            <w:tcW w:w="1520" w:type="dxa"/>
            <w:vAlign w:val="bottom"/>
          </w:tcPr>
          <w:p>
            <w:pPr>
              <w:spacing w:after="0"/>
              <w:rPr>
                <w:sz w:val="2"/>
                <w:szCs w:val="2"/>
                <w:color w:val="auto"/>
              </w:rPr>
            </w:pPr>
          </w:p>
        </w:tc>
        <w:tc>
          <w:tcPr>
            <w:tcW w:w="3680" w:type="dxa"/>
            <w:vAlign w:val="bottom"/>
            <w:tcBorders>
              <w:bottom w:val="single" w:sz="8" w:color="auto"/>
            </w:tcBorders>
            <w:gridSpan w:val="2"/>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194"/>
        </w:trPr>
        <w:tc>
          <w:tcPr>
            <w:tcW w:w="1520" w:type="dxa"/>
            <w:vAlign w:val="bottom"/>
          </w:tcPr>
          <w:p>
            <w:pPr>
              <w:spacing w:after="0"/>
              <w:rPr>
                <w:sz w:val="16"/>
                <w:szCs w:val="16"/>
                <w:color w:val="auto"/>
              </w:rPr>
            </w:pPr>
          </w:p>
        </w:tc>
        <w:tc>
          <w:tcPr>
            <w:tcW w:w="4860" w:type="dxa"/>
            <w:vAlign w:val="bottom"/>
            <w:gridSpan w:val="4"/>
          </w:tcPr>
          <w:p>
            <w:pPr>
              <w:jc w:val="center"/>
              <w:ind w:right="1180"/>
              <w:spacing w:after="0"/>
              <w:rPr>
                <w:sz w:val="20"/>
                <w:szCs w:val="20"/>
                <w:color w:val="auto"/>
              </w:rPr>
            </w:pPr>
            <w:r>
              <w:rPr>
                <w:rFonts w:ascii="Arial" w:cs="Arial" w:eastAsia="Arial" w:hAnsi="Arial"/>
                <w:sz w:val="14"/>
                <w:szCs w:val="14"/>
                <w:color w:val="auto"/>
                <w:w w:val="92"/>
              </w:rPr>
              <w:t>(State or Other Jurisdiction of Incorporation or Organization)</w:t>
            </w:r>
          </w:p>
        </w:tc>
        <w:tc>
          <w:tcPr>
            <w:tcW w:w="4720" w:type="dxa"/>
            <w:vAlign w:val="bottom"/>
            <w:gridSpan w:val="2"/>
          </w:tcPr>
          <w:p>
            <w:pPr>
              <w:jc w:val="center"/>
              <w:ind w:right="2120"/>
              <w:spacing w:after="0"/>
              <w:rPr>
                <w:sz w:val="20"/>
                <w:szCs w:val="20"/>
                <w:color w:val="auto"/>
              </w:rPr>
            </w:pPr>
            <w:r>
              <w:rPr>
                <w:rFonts w:ascii="Arial" w:cs="Arial" w:eastAsia="Arial" w:hAnsi="Arial"/>
                <w:sz w:val="14"/>
                <w:szCs w:val="14"/>
                <w:color w:val="auto"/>
                <w:w w:val="94"/>
              </w:rPr>
              <w:t>(IRS Employer Identification No.)</w:t>
            </w:r>
          </w:p>
        </w:tc>
      </w:tr>
      <w:tr>
        <w:trPr>
          <w:trHeight w:val="378"/>
        </w:trPr>
        <w:tc>
          <w:tcPr>
            <w:tcW w:w="1520" w:type="dxa"/>
            <w:vAlign w:val="bottom"/>
          </w:tcPr>
          <w:p>
            <w:pPr>
              <w:spacing w:after="0"/>
              <w:rPr>
                <w:sz w:val="24"/>
                <w:szCs w:val="24"/>
                <w:color w:val="auto"/>
              </w:rPr>
            </w:pPr>
          </w:p>
        </w:tc>
        <w:tc>
          <w:tcPr>
            <w:tcW w:w="3220" w:type="dxa"/>
            <w:vAlign w:val="bottom"/>
          </w:tcPr>
          <w:p>
            <w:pPr>
              <w:jc w:val="center"/>
              <w:ind w:left="365"/>
              <w:spacing w:after="0"/>
              <w:rPr>
                <w:sz w:val="20"/>
                <w:szCs w:val="20"/>
                <w:color w:val="auto"/>
              </w:rPr>
            </w:pPr>
            <w:r>
              <w:rPr>
                <w:rFonts w:ascii="Arial" w:cs="Arial" w:eastAsia="Arial" w:hAnsi="Arial"/>
                <w:sz w:val="16"/>
                <w:szCs w:val="16"/>
                <w:color w:val="auto"/>
                <w:w w:val="87"/>
              </w:rPr>
              <w:t>475 Tenth Avenue, 5th Floor</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p>
        </w:tc>
        <w:tc>
          <w:tcPr>
            <w:tcW w:w="3220" w:type="dxa"/>
            <w:vAlign w:val="bottom"/>
          </w:tcPr>
          <w:p>
            <w:pPr>
              <w:jc w:val="center"/>
              <w:ind w:left="345"/>
              <w:spacing w:after="0"/>
              <w:rPr>
                <w:sz w:val="20"/>
                <w:szCs w:val="20"/>
                <w:color w:val="auto"/>
              </w:rPr>
            </w:pPr>
            <w:r>
              <w:rPr>
                <w:rFonts w:ascii="Arial" w:cs="Arial" w:eastAsia="Arial" w:hAnsi="Arial"/>
                <w:sz w:val="16"/>
                <w:szCs w:val="16"/>
                <w:color w:val="auto"/>
                <w:w w:val="92"/>
              </w:rPr>
              <w:t>New York, New York</w:t>
            </w: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jc w:val="right"/>
              <w:ind w:right="1626"/>
              <w:spacing w:after="0"/>
              <w:rPr>
                <w:sz w:val="20"/>
                <w:szCs w:val="20"/>
                <w:color w:val="auto"/>
              </w:rPr>
            </w:pPr>
            <w:r>
              <w:rPr>
                <w:rFonts w:ascii="Arial" w:cs="Arial" w:eastAsia="Arial" w:hAnsi="Arial"/>
                <w:sz w:val="16"/>
                <w:szCs w:val="16"/>
                <w:color w:val="auto"/>
              </w:rPr>
              <w:t>10018</w:t>
            </w:r>
          </w:p>
        </w:tc>
        <w:tc>
          <w:tcPr>
            <w:tcW w:w="1520" w:type="dxa"/>
            <w:vAlign w:val="bottom"/>
          </w:tcPr>
          <w:p>
            <w:pPr>
              <w:spacing w:after="0"/>
              <w:rPr>
                <w:sz w:val="20"/>
                <w:szCs w:val="20"/>
                <w:color w:val="auto"/>
              </w:rPr>
            </w:pPr>
          </w:p>
        </w:tc>
      </w:tr>
      <w:tr>
        <w:trPr>
          <w:trHeight w:val="27"/>
        </w:trPr>
        <w:tc>
          <w:tcPr>
            <w:tcW w:w="152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194"/>
        </w:trPr>
        <w:tc>
          <w:tcPr>
            <w:tcW w:w="1520" w:type="dxa"/>
            <w:vAlign w:val="bottom"/>
          </w:tcPr>
          <w:p>
            <w:pPr>
              <w:spacing w:after="0"/>
              <w:rPr>
                <w:sz w:val="16"/>
                <w:szCs w:val="16"/>
                <w:color w:val="auto"/>
              </w:rPr>
            </w:pPr>
          </w:p>
        </w:tc>
        <w:tc>
          <w:tcPr>
            <w:tcW w:w="3220" w:type="dxa"/>
            <w:vAlign w:val="bottom"/>
          </w:tcPr>
          <w:p>
            <w:pPr>
              <w:jc w:val="center"/>
              <w:ind w:left="385"/>
              <w:spacing w:after="0"/>
              <w:rPr>
                <w:sz w:val="20"/>
                <w:szCs w:val="20"/>
                <w:color w:val="auto"/>
              </w:rPr>
            </w:pPr>
            <w:r>
              <w:rPr>
                <w:rFonts w:ascii="Arial" w:cs="Arial" w:eastAsia="Arial" w:hAnsi="Arial"/>
                <w:sz w:val="14"/>
                <w:szCs w:val="14"/>
                <w:color w:val="auto"/>
                <w:w w:val="92"/>
              </w:rPr>
              <w:t>(Address of Principal Executive Offices)</w:t>
            </w: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20" w:type="dxa"/>
            <w:vAlign w:val="bottom"/>
            <w:gridSpan w:val="2"/>
          </w:tcPr>
          <w:p>
            <w:pPr>
              <w:jc w:val="center"/>
              <w:ind w:right="2100"/>
              <w:spacing w:after="0"/>
              <w:rPr>
                <w:sz w:val="20"/>
                <w:szCs w:val="20"/>
                <w:color w:val="auto"/>
              </w:rPr>
            </w:pPr>
            <w:r>
              <w:rPr>
                <w:rFonts w:ascii="Arial" w:cs="Arial" w:eastAsia="Arial" w:hAnsi="Arial"/>
                <w:sz w:val="14"/>
                <w:szCs w:val="14"/>
                <w:color w:val="auto"/>
                <w:w w:val="93"/>
              </w:rPr>
              <w:t>(Zip Code)</w:t>
            </w:r>
          </w:p>
        </w:tc>
      </w:tr>
      <w:tr>
        <w:trPr>
          <w:trHeight w:val="296"/>
        </w:trPr>
        <w:tc>
          <w:tcPr>
            <w:tcW w:w="1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40" w:type="dxa"/>
            <w:vAlign w:val="bottom"/>
            <w:gridSpan w:val="3"/>
          </w:tcPr>
          <w:p>
            <w:pPr>
              <w:jc w:val="right"/>
              <w:ind w:right="340"/>
              <w:spacing w:after="0"/>
              <w:rPr>
                <w:sz w:val="20"/>
                <w:szCs w:val="20"/>
                <w:color w:val="auto"/>
              </w:rPr>
            </w:pPr>
            <w:r>
              <w:rPr>
                <w:rFonts w:ascii="Arial" w:cs="Arial" w:eastAsia="Arial" w:hAnsi="Arial"/>
                <w:sz w:val="16"/>
                <w:szCs w:val="16"/>
                <w:color w:val="auto"/>
              </w:rPr>
              <w:t>(212) 609-4200</w:t>
            </w:r>
          </w:p>
        </w:tc>
        <w:tc>
          <w:tcPr>
            <w:tcW w:w="3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9"/>
        </w:trPr>
        <w:tc>
          <w:tcPr>
            <w:tcW w:w="1520" w:type="dxa"/>
            <w:vAlign w:val="bottom"/>
          </w:tcPr>
          <w:p>
            <w:pPr>
              <w:spacing w:after="0"/>
              <w:rPr>
                <w:sz w:val="17"/>
                <w:szCs w:val="17"/>
                <w:color w:val="auto"/>
              </w:rPr>
            </w:pPr>
          </w:p>
        </w:tc>
        <w:tc>
          <w:tcPr>
            <w:tcW w:w="9580" w:type="dxa"/>
            <w:vAlign w:val="bottom"/>
            <w:gridSpan w:val="6"/>
          </w:tcPr>
          <w:p>
            <w:pPr>
              <w:ind w:left="2300"/>
              <w:spacing w:after="0"/>
              <w:rPr>
                <w:sz w:val="20"/>
                <w:szCs w:val="20"/>
                <w:color w:val="auto"/>
              </w:rPr>
            </w:pPr>
            <w:r>
              <w:rPr>
                <w:rFonts w:ascii="Arial" w:cs="Arial" w:eastAsia="Arial" w:hAnsi="Arial"/>
                <w:sz w:val="16"/>
                <w:szCs w:val="16"/>
                <w:color w:val="auto"/>
              </w:rPr>
              <w:t>(Registrant’s Telephone Number, Including Area Code)</w:t>
            </w:r>
          </w:p>
        </w:tc>
      </w:tr>
      <w:tr>
        <w:trPr>
          <w:trHeight w:val="327"/>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
        </w:trPr>
        <w:tc>
          <w:tcPr>
            <w:tcW w:w="47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720" w:type="dxa"/>
            <w:vAlign w:val="bottom"/>
            <w:tcBorders>
              <w:bottom w:val="single" w:sz="8" w:color="auto"/>
            </w:tcBorders>
            <w:gridSpan w:val="2"/>
          </w:tcPr>
          <w:p>
            <w:pPr>
              <w:spacing w:after="0"/>
              <w:rPr>
                <w:sz w:val="2"/>
                <w:szCs w:val="2"/>
                <w:color w:val="auto"/>
              </w:rPr>
            </w:pPr>
          </w:p>
        </w:tc>
      </w:tr>
      <w:tr>
        <w:trPr>
          <w:trHeight w:val="186"/>
        </w:trPr>
        <w:tc>
          <w:tcPr>
            <w:tcW w:w="4740" w:type="dxa"/>
            <w:vAlign w:val="bottom"/>
            <w:gridSpan w:val="2"/>
          </w:tcPr>
          <w:p>
            <w:pPr>
              <w:jc w:val="center"/>
              <w:ind w:right="665"/>
              <w:spacing w:after="0"/>
              <w:rPr>
                <w:sz w:val="20"/>
                <w:szCs w:val="20"/>
                <w:color w:val="auto"/>
              </w:rPr>
            </w:pPr>
            <w:r>
              <w:rPr>
                <w:rFonts w:ascii="Arial" w:cs="Arial" w:eastAsia="Arial" w:hAnsi="Arial"/>
                <w:sz w:val="14"/>
                <w:szCs w:val="14"/>
                <w:color w:val="auto"/>
                <w:w w:val="89"/>
              </w:rPr>
              <w:t>Title of each class</w:t>
            </w:r>
          </w:p>
        </w:tc>
        <w:tc>
          <w:tcPr>
            <w:tcW w:w="1640" w:type="dxa"/>
            <w:vAlign w:val="bottom"/>
            <w:gridSpan w:val="3"/>
          </w:tcPr>
          <w:p>
            <w:pPr>
              <w:jc w:val="right"/>
              <w:ind w:right="360"/>
              <w:spacing w:after="0"/>
              <w:rPr>
                <w:sz w:val="20"/>
                <w:szCs w:val="20"/>
                <w:color w:val="auto"/>
              </w:rPr>
            </w:pPr>
            <w:r>
              <w:rPr>
                <w:rFonts w:ascii="Arial" w:cs="Arial" w:eastAsia="Arial" w:hAnsi="Arial"/>
                <w:sz w:val="14"/>
                <w:szCs w:val="14"/>
                <w:color w:val="auto"/>
              </w:rPr>
              <w:t>Trading Symbol(s)</w:t>
            </w:r>
          </w:p>
        </w:tc>
        <w:tc>
          <w:tcPr>
            <w:tcW w:w="4720" w:type="dxa"/>
            <w:vAlign w:val="bottom"/>
            <w:gridSpan w:val="2"/>
          </w:tcPr>
          <w:p>
            <w:pPr>
              <w:jc w:val="center"/>
              <w:ind w:left="526"/>
              <w:spacing w:after="0"/>
              <w:rPr>
                <w:sz w:val="20"/>
                <w:szCs w:val="20"/>
                <w:color w:val="auto"/>
              </w:rPr>
            </w:pPr>
            <w:r>
              <w:rPr>
                <w:rFonts w:ascii="Arial" w:cs="Arial" w:eastAsia="Arial" w:hAnsi="Arial"/>
                <w:sz w:val="14"/>
                <w:szCs w:val="14"/>
                <w:color w:val="auto"/>
                <w:w w:val="89"/>
              </w:rPr>
              <w:t>Name of each exchange on which registered</w:t>
            </w:r>
          </w:p>
        </w:tc>
      </w:tr>
      <w:tr>
        <w:trPr>
          <w:trHeight w:val="28"/>
        </w:trPr>
        <w:tc>
          <w:tcPr>
            <w:tcW w:w="47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720" w:type="dxa"/>
            <w:vAlign w:val="bottom"/>
            <w:tcBorders>
              <w:bottom w:val="single" w:sz="8" w:color="auto"/>
            </w:tcBorders>
            <w:gridSpan w:val="2"/>
          </w:tcPr>
          <w:p>
            <w:pPr>
              <w:spacing w:after="0"/>
              <w:rPr>
                <w:sz w:val="2"/>
                <w:szCs w:val="2"/>
                <w:color w:val="auto"/>
              </w:rPr>
            </w:pPr>
          </w:p>
        </w:tc>
      </w:tr>
      <w:tr>
        <w:trPr>
          <w:trHeight w:val="201"/>
        </w:trPr>
        <w:tc>
          <w:tcPr>
            <w:tcW w:w="4740" w:type="dxa"/>
            <w:vAlign w:val="bottom"/>
            <w:gridSpan w:val="2"/>
          </w:tcPr>
          <w:p>
            <w:pPr>
              <w:jc w:val="center"/>
              <w:ind w:right="685"/>
              <w:spacing w:after="0"/>
              <w:rPr>
                <w:sz w:val="20"/>
                <w:szCs w:val="20"/>
                <w:color w:val="auto"/>
              </w:rPr>
            </w:pPr>
            <w:r>
              <w:rPr>
                <w:rFonts w:ascii="Arial" w:cs="Arial" w:eastAsia="Arial" w:hAnsi="Arial"/>
                <w:sz w:val="16"/>
                <w:szCs w:val="16"/>
                <w:color w:val="auto"/>
                <w:w w:val="87"/>
              </w:rPr>
              <w:t>Common Stock, par value $0.001 per share</w:t>
            </w:r>
          </w:p>
        </w:tc>
        <w:tc>
          <w:tcPr>
            <w:tcW w:w="460" w:type="dxa"/>
            <w:vAlign w:val="bottom"/>
          </w:tcPr>
          <w:p>
            <w:pPr>
              <w:spacing w:after="0"/>
              <w:rPr>
                <w:sz w:val="17"/>
                <w:szCs w:val="17"/>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6"/>
                <w:szCs w:val="16"/>
                <w:color w:val="auto"/>
              </w:rPr>
              <w:t>LPSN</w:t>
            </w:r>
          </w:p>
        </w:tc>
        <w:tc>
          <w:tcPr>
            <w:tcW w:w="4720" w:type="dxa"/>
            <w:vAlign w:val="bottom"/>
            <w:gridSpan w:val="2"/>
          </w:tcPr>
          <w:p>
            <w:pPr>
              <w:jc w:val="center"/>
              <w:ind w:left="526"/>
              <w:spacing w:after="0"/>
              <w:rPr>
                <w:sz w:val="20"/>
                <w:szCs w:val="20"/>
                <w:color w:val="auto"/>
              </w:rPr>
            </w:pPr>
            <w:r>
              <w:rPr>
                <w:rFonts w:ascii="Arial" w:cs="Arial" w:eastAsia="Arial" w:hAnsi="Arial"/>
                <w:sz w:val="16"/>
                <w:szCs w:val="16"/>
                <w:color w:val="auto"/>
                <w:w w:val="89"/>
              </w:rPr>
              <w:t>The Nasdaq Stock Market LLC</w:t>
            </w:r>
          </w:p>
        </w:tc>
      </w:tr>
    </w:tbl>
    <w:p>
      <w:pPr>
        <w:spacing w:after="0" w:line="198" w:lineRule="exact"/>
        <w:rPr>
          <w:sz w:val="24"/>
          <w:szCs w:val="24"/>
          <w:color w:val="auto"/>
        </w:rPr>
      </w:pPr>
    </w:p>
    <w:p>
      <w:pPr>
        <w:ind w:right="160"/>
        <w:spacing w:after="0" w:line="20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5" w:lineRule="exact"/>
        <w:rPr>
          <w:sz w:val="24"/>
          <w:szCs w:val="24"/>
          <w:color w:val="auto"/>
        </w:rPr>
      </w:pPr>
    </w:p>
    <w:p>
      <w:pPr>
        <w:ind w:right="10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20"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30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4"/>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21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30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0" w:type="dxa"/>
            <w:vAlign w:val="bottom"/>
          </w:tcPr>
          <w:p>
            <w:pPr>
              <w:ind w:left="130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7" w:lineRule="exact"/>
        <w:rPr>
          <w:sz w:val="24"/>
          <w:szCs w:val="24"/>
          <w:color w:val="auto"/>
        </w:rPr>
      </w:pPr>
    </w:p>
    <w:p>
      <w:pPr>
        <w:ind w:right="360"/>
        <w:spacing w:after="0" w:line="20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6" w:lineRule="exact"/>
        <w:rPr>
          <w:sz w:val="24"/>
          <w:szCs w:val="24"/>
          <w:color w:val="auto"/>
        </w:rPr>
      </w:pPr>
    </w:p>
    <w:p>
      <w:pPr>
        <w:ind w:right="326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On July 31, 2020, 66,174,172 shares of the registrant’s common stock were outstanding.</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80"/>
          </w:cols>
          <w:pgMar w:left="320" w:top="590" w:right="3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LIVEPERSON,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June 30, 2020</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80" w:type="dxa"/>
            <w:vAlign w:val="bottom"/>
          </w:tcPr>
          <w:p>
            <w:pPr>
              <w:spacing w:after="0"/>
              <w:rPr>
                <w:sz w:val="17"/>
                <w:szCs w:val="17"/>
                <w:color w:val="auto"/>
              </w:rPr>
            </w:pPr>
          </w:p>
        </w:tc>
        <w:tc>
          <w:tcPr>
            <w:tcW w:w="9260" w:type="dxa"/>
            <w:vAlign w:val="bottom"/>
          </w:tcPr>
          <w:p>
            <w:pPr>
              <w:spacing w:after="0"/>
              <w:rPr>
                <w:sz w:val="17"/>
                <w:szCs w:val="17"/>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6"/>
                <w:szCs w:val="16"/>
                <w:color w:val="auto"/>
              </w:rPr>
              <w:t>PAGE</w:t>
            </w:r>
          </w:p>
        </w:tc>
      </w:tr>
      <w:tr>
        <w:trPr>
          <w:trHeight w:val="24"/>
        </w:trPr>
        <w:tc>
          <w:tcPr>
            <w:tcW w:w="980" w:type="dxa"/>
            <w:vAlign w:val="bottom"/>
            <w:tcBorders>
              <w:bottom w:val="single" w:sz="8" w:color="CCFFCC"/>
            </w:tcBorders>
          </w:tcPr>
          <w:p>
            <w:pPr>
              <w:spacing w:after="0"/>
              <w:rPr>
                <w:sz w:val="2"/>
                <w:szCs w:val="2"/>
                <w:color w:val="auto"/>
              </w:rPr>
            </w:pPr>
          </w:p>
        </w:tc>
        <w:tc>
          <w:tcPr>
            <w:tcW w:w="9260" w:type="dxa"/>
            <w:vAlign w:val="bottom"/>
            <w:tcBorders>
              <w:bottom w:val="single" w:sz="8" w:color="CCFFC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05"/>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Part I.</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Financial Information</w:t>
            </w:r>
          </w:p>
        </w:tc>
        <w:tc>
          <w:tcPr>
            <w:tcW w:w="102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1.</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Financial Statements (Unaudited):</w:t>
            </w:r>
          </w:p>
        </w:tc>
        <w:tc>
          <w:tcPr>
            <w:tcW w:w="102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spacing w:after="0"/>
              <w:rPr>
                <w:sz w:val="18"/>
                <w:szCs w:val="18"/>
                <w:color w:val="auto"/>
              </w:rPr>
            </w:pPr>
          </w:p>
        </w:tc>
        <w:tc>
          <w:tcPr>
            <w:tcW w:w="9260" w:type="dxa"/>
            <w:vAlign w:val="bottom"/>
            <w:tcBorders>
              <w:bottom w:val="single" w:sz="8" w:color="CCFFCC"/>
            </w:tcBorders>
            <w:shd w:val="clear" w:color="auto" w:fill="CCFFCC"/>
          </w:tcPr>
          <w:p>
            <w:pPr>
              <w:ind w:left="600"/>
              <w:spacing w:after="0"/>
              <w:rPr>
                <w:sz w:val="20"/>
                <w:szCs w:val="20"/>
                <w:color w:val="auto"/>
              </w:rPr>
            </w:pPr>
            <w:r>
              <w:rPr>
                <w:rFonts w:ascii="Arial" w:cs="Arial" w:eastAsia="Arial" w:hAnsi="Arial"/>
                <w:sz w:val="16"/>
                <w:szCs w:val="16"/>
                <w:color w:val="auto"/>
              </w:rPr>
              <w:t>Condensed Consolidated Balance Sheets as of June 30, 2020 and December 31, 2019</w:t>
            </w:r>
          </w:p>
        </w:tc>
        <w:tc>
          <w:tcPr>
            <w:tcW w:w="102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spacing w:after="0"/>
              <w:rPr>
                <w:sz w:val="18"/>
                <w:szCs w:val="18"/>
                <w:color w:val="auto"/>
              </w:rPr>
            </w:pPr>
          </w:p>
        </w:tc>
        <w:tc>
          <w:tcPr>
            <w:tcW w:w="9260" w:type="dxa"/>
            <w:vAlign w:val="bottom"/>
            <w:tcBorders>
              <w:bottom w:val="single" w:sz="8" w:color="CCFFCC"/>
            </w:tcBorders>
            <w:shd w:val="clear" w:color="auto" w:fill="CCFFCC"/>
          </w:tcPr>
          <w:p>
            <w:pPr>
              <w:ind w:left="600"/>
              <w:spacing w:after="0"/>
              <w:rPr>
                <w:sz w:val="20"/>
                <w:szCs w:val="20"/>
                <w:color w:val="auto"/>
              </w:rPr>
            </w:pPr>
            <w:r>
              <w:rPr>
                <w:rFonts w:ascii="Arial" w:cs="Arial" w:eastAsia="Arial" w:hAnsi="Arial"/>
                <w:sz w:val="16"/>
                <w:szCs w:val="16"/>
                <w:color w:val="auto"/>
              </w:rPr>
              <w:t>Condensed Consolidated Statements of Operations for the Three and Six Months Ended June 30, 2020 and 2019</w:t>
            </w:r>
          </w:p>
        </w:tc>
        <w:tc>
          <w:tcPr>
            <w:tcW w:w="102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spacing w:after="0"/>
              <w:rPr>
                <w:sz w:val="18"/>
                <w:szCs w:val="18"/>
                <w:color w:val="auto"/>
              </w:rPr>
            </w:pPr>
          </w:p>
        </w:tc>
        <w:tc>
          <w:tcPr>
            <w:tcW w:w="9260" w:type="dxa"/>
            <w:vAlign w:val="bottom"/>
            <w:tcBorders>
              <w:bottom w:val="single" w:sz="8" w:color="CCFFCC"/>
            </w:tcBorders>
            <w:shd w:val="clear" w:color="auto" w:fill="CCFFCC"/>
          </w:tcPr>
          <w:p>
            <w:pPr>
              <w:ind w:left="600"/>
              <w:spacing w:after="0"/>
              <w:rPr>
                <w:sz w:val="20"/>
                <w:szCs w:val="20"/>
                <w:color w:val="auto"/>
              </w:rPr>
            </w:pPr>
            <w:r>
              <w:rPr>
                <w:rFonts w:ascii="Arial" w:cs="Arial" w:eastAsia="Arial" w:hAnsi="Arial"/>
                <w:sz w:val="16"/>
                <w:szCs w:val="16"/>
                <w:color w:val="auto"/>
                <w:w w:val="98"/>
              </w:rPr>
              <w:t>Condensed Consolidated Statements of Comprehensive Loss for the Three and Six Months Ended June 30, 2020 and 2019</w:t>
            </w:r>
          </w:p>
        </w:tc>
        <w:tc>
          <w:tcPr>
            <w:tcW w:w="1020" w:type="dxa"/>
            <w:vAlign w:val="bottom"/>
            <w:tcBorders>
              <w:bottom w:val="single" w:sz="8" w:color="CCFFCC"/>
            </w:tcBorders>
            <w:gridSpan w:val="3"/>
            <w:shd w:val="clear" w:color="auto" w:fill="CCFFCC"/>
          </w:tcPr>
          <w:p>
            <w:pPr>
              <w:jc w:val="right"/>
              <w:ind w:right="12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7</w:t>
              </w:r>
            </w:hyperlink>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shd w:val="clear" w:color="auto" w:fill="CCFFCC"/>
          </w:tcPr>
          <w:p>
            <w:pPr>
              <w:spacing w:after="0"/>
              <w:rPr>
                <w:sz w:val="18"/>
                <w:szCs w:val="18"/>
                <w:color w:val="auto"/>
              </w:rPr>
            </w:pPr>
          </w:p>
        </w:tc>
        <w:tc>
          <w:tcPr>
            <w:tcW w:w="9260" w:type="dxa"/>
            <w:vAlign w:val="bottom"/>
            <w:shd w:val="clear" w:color="auto" w:fill="CCFFCC"/>
          </w:tcPr>
          <w:p>
            <w:pPr>
              <w:ind w:left="600"/>
              <w:spacing w:after="0" w:line="175" w:lineRule="exact"/>
              <w:rPr>
                <w:sz w:val="20"/>
                <w:szCs w:val="20"/>
                <w:color w:val="auto"/>
              </w:rPr>
            </w:pPr>
            <w:r>
              <w:rPr>
                <w:rFonts w:ascii="Arial" w:cs="Arial" w:eastAsia="Arial" w:hAnsi="Arial"/>
                <w:sz w:val="16"/>
                <w:szCs w:val="16"/>
                <w:color w:val="auto"/>
                <w:w w:val="99"/>
              </w:rPr>
              <w:t>Condensed Consolidated Statements of Stockholders' Equity for the Three and Six Months Ended June 30, 2020 and 2019</w:t>
            </w:r>
          </w:p>
        </w:tc>
        <w:tc>
          <w:tcPr>
            <w:tcW w:w="1020" w:type="dxa"/>
            <w:vAlign w:val="bottom"/>
            <w:gridSpan w:val="3"/>
            <w:shd w:val="clear" w:color="auto" w:fill="CCFFCC"/>
          </w:tcPr>
          <w:p>
            <w:pPr>
              <w:jc w:val="right"/>
              <w:ind w:right="120"/>
              <w:spacing w:after="0" w:line="175" w:lineRule="exact"/>
              <w:rPr>
                <w:sz w:val="20"/>
                <w:szCs w:val="20"/>
                <w:color w:val="auto"/>
              </w:rPr>
            </w:pPr>
            <w:r>
              <w:rPr>
                <w:rFonts w:ascii="Arial" w:cs="Arial" w:eastAsia="Arial" w:hAnsi="Arial"/>
                <w:sz w:val="16"/>
                <w:szCs w:val="16"/>
                <w:color w:val="0000FF"/>
              </w:rPr>
              <w:t>7</w:t>
            </w:r>
          </w:p>
        </w:tc>
      </w:tr>
      <w:tr>
        <w:trPr>
          <w:trHeight w:val="234"/>
        </w:trPr>
        <w:tc>
          <w:tcPr>
            <w:tcW w:w="980" w:type="dxa"/>
            <w:vAlign w:val="bottom"/>
            <w:tcBorders>
              <w:top w:val="single" w:sz="8" w:color="CCFFCC"/>
            </w:tcBorders>
          </w:tcPr>
          <w:p>
            <w:pPr>
              <w:spacing w:after="0"/>
              <w:rPr>
                <w:sz w:val="20"/>
                <w:szCs w:val="20"/>
                <w:color w:val="auto"/>
              </w:rPr>
            </w:pPr>
          </w:p>
        </w:tc>
        <w:tc>
          <w:tcPr>
            <w:tcW w:w="9260" w:type="dxa"/>
            <w:vAlign w:val="bottom"/>
            <w:tcBorders>
              <w:top w:val="single" w:sz="8" w:color="CCFFCC"/>
            </w:tcBorders>
          </w:tcPr>
          <w:p>
            <w:pPr>
              <w:spacing w:after="0"/>
              <w:rPr>
                <w:sz w:val="20"/>
                <w:szCs w:val="20"/>
                <w:color w:val="auto"/>
              </w:rPr>
            </w:pPr>
          </w:p>
        </w:tc>
        <w:tc>
          <w:tcPr>
            <w:tcW w:w="840" w:type="dxa"/>
            <w:vAlign w:val="bottom"/>
            <w:tcBorders>
              <w:top w:val="single" w:sz="8" w:color="CCFFCC"/>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spacing w:after="0"/>
              <w:rPr>
                <w:sz w:val="18"/>
                <w:szCs w:val="18"/>
                <w:color w:val="auto"/>
              </w:rPr>
            </w:pPr>
          </w:p>
        </w:tc>
        <w:tc>
          <w:tcPr>
            <w:tcW w:w="9260" w:type="dxa"/>
            <w:vAlign w:val="bottom"/>
            <w:tcBorders>
              <w:bottom w:val="single" w:sz="8" w:color="CCFFCC"/>
            </w:tcBorders>
            <w:shd w:val="clear" w:color="auto" w:fill="CCFFCC"/>
          </w:tcPr>
          <w:p>
            <w:pPr>
              <w:ind w:left="600"/>
              <w:spacing w:after="0"/>
              <w:rPr>
                <w:sz w:val="20"/>
                <w:szCs w:val="20"/>
                <w:color w:val="auto"/>
              </w:rPr>
            </w:pPr>
            <w:r>
              <w:rPr>
                <w:rFonts w:ascii="Arial" w:cs="Arial" w:eastAsia="Arial" w:hAnsi="Arial"/>
                <w:sz w:val="16"/>
                <w:szCs w:val="16"/>
                <w:color w:val="auto"/>
              </w:rPr>
              <w:t>Condensed Consolidated Statements of Cash Flows for the Six Months Ended June 30, 2020 and 2019</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10">
              <w:r>
                <w:rPr>
                  <w:rFonts w:ascii="Arial" w:cs="Arial" w:eastAsia="Arial" w:hAnsi="Arial"/>
                  <w:sz w:val="16"/>
                  <w:szCs w:val="16"/>
                  <w:u w:val="single" w:color="auto"/>
                  <w:color w:val="0000FF"/>
                </w:rPr>
                <w:t>10</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80"/>
        </w:trPr>
        <w:tc>
          <w:tcPr>
            <w:tcW w:w="98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980" w:type="dxa"/>
            <w:vAlign w:val="bottom"/>
            <w:tcBorders>
              <w:bottom w:val="single" w:sz="8" w:color="CCFFCC"/>
            </w:tcBorders>
            <w:shd w:val="clear" w:color="auto" w:fill="CCFFCC"/>
          </w:tcPr>
          <w:p>
            <w:pPr>
              <w:spacing w:after="0"/>
              <w:rPr>
                <w:sz w:val="18"/>
                <w:szCs w:val="18"/>
                <w:color w:val="auto"/>
              </w:rPr>
            </w:pPr>
          </w:p>
        </w:tc>
        <w:tc>
          <w:tcPr>
            <w:tcW w:w="9260" w:type="dxa"/>
            <w:vAlign w:val="bottom"/>
            <w:tcBorders>
              <w:bottom w:val="single" w:sz="8" w:color="CCFFCC"/>
            </w:tcBorders>
            <w:shd w:val="clear" w:color="auto" w:fill="CCFFCC"/>
          </w:tcPr>
          <w:p>
            <w:pPr>
              <w:ind w:left="600"/>
              <w:spacing w:after="0"/>
              <w:rPr>
                <w:sz w:val="20"/>
                <w:szCs w:val="20"/>
                <w:color w:val="auto"/>
              </w:rPr>
            </w:pPr>
            <w:r>
              <w:rPr>
                <w:rFonts w:ascii="Arial" w:cs="Arial" w:eastAsia="Arial" w:hAnsi="Arial"/>
                <w:sz w:val="16"/>
                <w:szCs w:val="16"/>
                <w:color w:val="auto"/>
              </w:rPr>
              <w:t>Notes to Condensed Consolidated Financial Statements</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12</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2.</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34</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3.</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Quantitative and Qualitative Disclosures about Market Risk</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52</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4.</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Controls and Procedures</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53</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Part II.</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Other Information</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53</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1.</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Legal Proceedings</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53</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1A.</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Risk Factors</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54</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2.</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Unregistered Sales of Equity Securities and Use of Proceeds</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54</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3.</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Defaults Upon Senior Securities</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54</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4.</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Mine Safety Disclosures</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54</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5.</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Other Information</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55</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Item 6.</w:t>
            </w:r>
          </w:p>
        </w:tc>
        <w:tc>
          <w:tcPr>
            <w:tcW w:w="9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Exhibits</w:t>
            </w: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56</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280"/>
        </w:trPr>
        <w:tc>
          <w:tcPr>
            <w:tcW w:w="98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Signatures</w:t>
            </w:r>
          </w:p>
        </w:tc>
        <w:tc>
          <w:tcPr>
            <w:tcW w:w="926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gridSpan w:val="2"/>
            <w:shd w:val="clear" w:color="auto" w:fill="CCFFCC"/>
          </w:tcPr>
          <w:p>
            <w:pPr>
              <w:jc w:val="right"/>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57</w:t>
              </w:r>
            </w:hyperlink>
          </w:p>
        </w:tc>
        <w:tc>
          <w:tcPr>
            <w:tcW w:w="120" w:type="dxa"/>
            <w:vAlign w:val="bottom"/>
            <w:tcBorders>
              <w:bottom w:val="single" w:sz="8" w:color="CCFFCC"/>
            </w:tcBorders>
            <w:shd w:val="clear" w:color="auto" w:fill="CCFFCC"/>
          </w:tcPr>
          <w:p>
            <w:pPr>
              <w:spacing w:after="0"/>
              <w:rPr>
                <w:sz w:val="18"/>
                <w:szCs w:val="18"/>
                <w:color w:val="auto"/>
              </w:rPr>
            </w:pPr>
          </w:p>
        </w:tc>
      </w:tr>
      <w:tr>
        <w:trPr>
          <w:trHeight w:val="373"/>
        </w:trPr>
        <w:tc>
          <w:tcPr>
            <w:tcW w:w="980" w:type="dxa"/>
            <w:vAlign w:val="bottom"/>
          </w:tcPr>
          <w:p>
            <w:pPr>
              <w:spacing w:after="0"/>
              <w:rPr>
                <w:sz w:val="24"/>
                <w:szCs w:val="24"/>
                <w:color w:val="auto"/>
              </w:rPr>
            </w:pPr>
          </w:p>
        </w:tc>
        <w:tc>
          <w:tcPr>
            <w:tcW w:w="9260" w:type="dxa"/>
            <w:vAlign w:val="bottom"/>
          </w:tcPr>
          <w:p>
            <w:pPr>
              <w:ind w:left="4600"/>
              <w:spacing w:after="0"/>
              <w:rPr>
                <w:sz w:val="20"/>
                <w:szCs w:val="20"/>
                <w:color w:val="auto"/>
              </w:rPr>
            </w:pPr>
            <w:r>
              <w:rPr>
                <w:rFonts w:ascii="Arial" w:cs="Arial" w:eastAsia="Arial" w:hAnsi="Arial"/>
                <w:sz w:val="16"/>
                <w:szCs w:val="16"/>
                <w:color w:val="auto"/>
              </w:rPr>
              <w:t>2</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320" w:top="66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STATEMENTS IN THIS QUARTERLY REPORT ON FORM 10-Q ABOUT LIVEPERSON, INC. (“LIVEPERSON”)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497" w:right="319" w:bottom="1440" w:gutter="0" w:footer="0" w:header="0"/>
        </w:sectPr>
      </w:pPr>
    </w:p>
    <w:bookmarkStart w:id="3" w:name="page4"/>
    <w:bookmarkEnd w:id="3"/>
    <w:p>
      <w:pPr>
        <w:jc w:val="right"/>
        <w:ind w:right="3619"/>
        <w:spacing w:after="0"/>
        <w:rPr>
          <w:sz w:val="20"/>
          <w:szCs w:val="20"/>
          <w:color w:val="auto"/>
        </w:rPr>
      </w:pPr>
      <w:r>
        <w:rPr>
          <w:rFonts w:ascii="Arial" w:cs="Arial" w:eastAsia="Arial" w:hAnsi="Arial"/>
          <w:sz w:val="16"/>
          <w:szCs w:val="16"/>
          <w:color w:val="auto"/>
        </w:rPr>
        <w:t>Part I.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139"/>
          </w:cols>
          <w:pgMar w:left="320" w:top="501" w:right="1440" w:bottom="1440" w:gutter="0" w:footer="0" w:header="0"/>
        </w:sectPr>
      </w:pPr>
    </w:p>
    <w:bookmarkStart w:id="4" w:name="page5"/>
    <w:bookmarkEnd w:id="4"/>
    <w:p>
      <w:pPr>
        <w:ind w:left="4920"/>
        <w:spacing w:after="0"/>
        <w:rPr>
          <w:sz w:val="20"/>
          <w:szCs w:val="20"/>
          <w:color w:val="auto"/>
        </w:rPr>
      </w:pPr>
      <w:r>
        <w:rPr>
          <w:rFonts w:ascii="Arial" w:cs="Arial" w:eastAsia="Arial" w:hAnsi="Arial"/>
          <w:sz w:val="16"/>
          <w:szCs w:val="16"/>
          <w:b w:val="1"/>
          <w:bCs w:val="1"/>
          <w:color w:val="auto"/>
        </w:rPr>
        <w:t>LIVEPERSON, INC.</w:t>
      </w:r>
    </w:p>
    <w:p>
      <w:pPr>
        <w:spacing w:after="0" w:line="96"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ind w:left="200"/>
              <w:spacing w:after="0"/>
              <w:rPr>
                <w:sz w:val="20"/>
                <w:szCs w:val="20"/>
                <w:color w:val="auto"/>
              </w:rPr>
            </w:pPr>
            <w:r>
              <w:rPr>
                <w:rFonts w:ascii="Arial" w:cs="Arial" w:eastAsia="Arial" w:hAnsi="Arial"/>
                <w:sz w:val="12"/>
                <w:szCs w:val="12"/>
                <w:b w:val="1"/>
                <w:bCs w:val="1"/>
                <w:color w:val="auto"/>
              </w:rPr>
              <w:t>June 30,</w:t>
            </w:r>
          </w:p>
        </w:tc>
        <w:tc>
          <w:tcPr>
            <w:tcW w:w="220" w:type="dxa"/>
            <w:vAlign w:val="bottom"/>
          </w:tcPr>
          <w:p>
            <w:pPr>
              <w:spacing w:after="0"/>
              <w:rPr>
                <w:sz w:val="12"/>
                <w:szCs w:val="12"/>
                <w:color w:val="auto"/>
              </w:rPr>
            </w:pPr>
          </w:p>
        </w:tc>
        <w:tc>
          <w:tcPr>
            <w:tcW w:w="1240" w:type="dxa"/>
            <w:vAlign w:val="bottom"/>
          </w:tcPr>
          <w:p>
            <w:pPr>
              <w:jc w:val="center"/>
              <w:ind w:right="171"/>
              <w:spacing w:after="0"/>
              <w:rPr>
                <w:sz w:val="20"/>
                <w:szCs w:val="20"/>
                <w:color w:val="auto"/>
              </w:rPr>
            </w:pPr>
            <w:r>
              <w:rPr>
                <w:rFonts w:ascii="Arial" w:cs="Arial" w:eastAsia="Arial" w:hAnsi="Arial"/>
                <w:sz w:val="12"/>
                <w:szCs w:val="12"/>
                <w:b w:val="1"/>
                <w:bCs w:val="1"/>
                <w:color w:val="auto"/>
                <w:w w:val="92"/>
              </w:rPr>
              <w:t>December 31,</w:t>
            </w:r>
          </w:p>
        </w:tc>
      </w:tr>
      <w:tr>
        <w:trPr>
          <w:trHeight w:val="166"/>
        </w:trPr>
        <w:tc>
          <w:tcPr>
            <w:tcW w:w="8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w w:val="97"/>
              </w:rPr>
              <w:t>2019</w:t>
            </w:r>
          </w:p>
        </w:tc>
      </w:tr>
      <w:tr>
        <w:trPr>
          <w:trHeight w:val="225"/>
        </w:trPr>
        <w:tc>
          <w:tcPr>
            <w:tcW w:w="8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51"/>
              <w:spacing w:after="0"/>
              <w:rPr>
                <w:sz w:val="20"/>
                <w:szCs w:val="20"/>
                <w:color w:val="auto"/>
              </w:rPr>
            </w:pPr>
            <w:r>
              <w:rPr>
                <w:rFonts w:ascii="Arial" w:cs="Arial" w:eastAsia="Arial" w:hAnsi="Arial"/>
                <w:sz w:val="12"/>
                <w:szCs w:val="12"/>
                <w:b w:val="1"/>
                <w:bCs w:val="1"/>
                <w:color w:val="auto"/>
                <w:w w:val="93"/>
              </w:rPr>
              <w:t>(Note 1)</w:t>
            </w:r>
          </w:p>
        </w:tc>
      </w:tr>
      <w:tr>
        <w:trPr>
          <w:trHeight w:val="219"/>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spacing w:after="0"/>
              <w:rPr>
                <w:sz w:val="19"/>
                <w:szCs w:val="19"/>
                <w:color w:val="auto"/>
              </w:rPr>
            </w:pPr>
          </w:p>
        </w:tc>
      </w:tr>
      <w:tr>
        <w:trPr>
          <w:trHeight w:val="206"/>
        </w:trPr>
        <w:tc>
          <w:tcPr>
            <w:tcW w:w="82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2"/>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173,177</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176,523</w:t>
            </w:r>
          </w:p>
        </w:tc>
      </w:tr>
      <w:tr>
        <w:trPr>
          <w:trHeight w:val="194"/>
        </w:trPr>
        <w:tc>
          <w:tcPr>
            <w:tcW w:w="8220" w:type="dxa"/>
            <w:vAlign w:val="bottom"/>
          </w:tcPr>
          <w:p>
            <w:pPr>
              <w:ind w:left="140"/>
              <w:spacing w:after="0"/>
              <w:rPr>
                <w:sz w:val="20"/>
                <w:szCs w:val="20"/>
                <w:color w:val="auto"/>
              </w:rPr>
            </w:pPr>
            <w:r>
              <w:rPr>
                <w:rFonts w:ascii="Arial" w:cs="Arial" w:eastAsia="Arial" w:hAnsi="Arial"/>
                <w:sz w:val="14"/>
                <w:szCs w:val="14"/>
                <w:color w:val="auto"/>
              </w:rPr>
              <w:t>Accounts receivable, net of allowances of $7,346 and $4,226 as of June 30, 2020 and December 31, 2019, respectively</w:t>
            </w:r>
          </w:p>
        </w:tc>
        <w:tc>
          <w:tcPr>
            <w:tcW w:w="30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75,187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87,620</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2"/>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19,315</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13,964</w:t>
            </w:r>
          </w:p>
        </w:tc>
      </w:tr>
      <w:tr>
        <w:trPr>
          <w:trHeight w:val="186"/>
        </w:trPr>
        <w:tc>
          <w:tcPr>
            <w:tcW w:w="822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267,679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278,107</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2"/>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Operating lease right of use asset</w:t>
            </w:r>
          </w:p>
        </w:tc>
        <w:tc>
          <w:tcPr>
            <w:tcW w:w="30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13,156</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15,680</w:t>
            </w:r>
          </w:p>
        </w:tc>
      </w:tr>
      <w:tr>
        <w:trPr>
          <w:trHeight w:val="194"/>
        </w:trPr>
        <w:tc>
          <w:tcPr>
            <w:tcW w:w="82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91,238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76,236</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2"/>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Contract acquisition costs</w:t>
            </w:r>
          </w:p>
        </w:tc>
        <w:tc>
          <w:tcPr>
            <w:tcW w:w="30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36,143</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31,965</w:t>
            </w:r>
          </w:p>
        </w:tc>
      </w:tr>
      <w:tr>
        <w:trPr>
          <w:trHeight w:val="194"/>
        </w:trPr>
        <w:tc>
          <w:tcPr>
            <w:tcW w:w="8220" w:type="dxa"/>
            <w:vAlign w:val="bottom"/>
          </w:tcPr>
          <w:p>
            <w:pPr>
              <w:ind w:left="20"/>
              <w:spacing w:after="0"/>
              <w:rPr>
                <w:sz w:val="20"/>
                <w:szCs w:val="20"/>
                <w:color w:val="auto"/>
              </w:rPr>
            </w:pPr>
            <w:r>
              <w:rPr>
                <w:rFonts w:ascii="Arial" w:cs="Arial" w:eastAsia="Arial" w:hAnsi="Arial"/>
                <w:sz w:val="14"/>
                <w:szCs w:val="14"/>
                <w:color w:val="auto"/>
              </w:rPr>
              <w:t>Intangibles, net</w:t>
            </w:r>
          </w:p>
        </w:tc>
        <w:tc>
          <w:tcPr>
            <w:tcW w:w="30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11,109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11,812</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2"/>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94,989</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94,987</w:t>
            </w:r>
          </w:p>
        </w:tc>
      </w:tr>
      <w:tr>
        <w:trPr>
          <w:trHeight w:val="194"/>
        </w:trPr>
        <w:tc>
          <w:tcPr>
            <w:tcW w:w="822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30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2,107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2,179</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2"/>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Other assets</w:t>
            </w:r>
          </w:p>
        </w:tc>
        <w:tc>
          <w:tcPr>
            <w:tcW w:w="30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1,736</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1,744</w:t>
            </w:r>
          </w:p>
        </w:tc>
      </w:tr>
      <w:tr>
        <w:trPr>
          <w:trHeight w:val="245"/>
        </w:trPr>
        <w:tc>
          <w:tcPr>
            <w:tcW w:w="8220" w:type="dxa"/>
            <w:vAlign w:val="bottom"/>
            <w:tcBorders>
              <w:bottom w:val="single" w:sz="8" w:color="CCFFCC"/>
            </w:tcBorders>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518,157</w:t>
            </w:r>
          </w:p>
        </w:tc>
        <w:tc>
          <w:tcPr>
            <w:tcW w:w="100" w:type="dxa"/>
            <w:vAlign w:val="bottom"/>
            <w:tcBorders>
              <w:bottom w:val="single" w:sz="8" w:color="CCFFC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512,710</w:t>
            </w:r>
          </w:p>
        </w:tc>
      </w:tr>
      <w:tr>
        <w:trPr>
          <w:trHeight w:val="264"/>
        </w:trPr>
        <w:tc>
          <w:tcPr>
            <w:tcW w:w="822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11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240" w:type="dxa"/>
            <w:vAlign w:val="bottom"/>
            <w:shd w:val="clear" w:color="auto" w:fill="CCFFCC"/>
          </w:tcPr>
          <w:p>
            <w:pPr>
              <w:spacing w:after="0"/>
              <w:rPr>
                <w:sz w:val="22"/>
                <w:szCs w:val="22"/>
                <w:color w:val="auto"/>
              </w:rPr>
            </w:pPr>
          </w:p>
        </w:tc>
      </w:tr>
      <w:tr>
        <w:trPr>
          <w:trHeight w:val="206"/>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4"/>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Borders>
              <w:bottom w:val="single" w:sz="8" w:color="CCFFCC"/>
            </w:tcBorders>
            <w:shd w:val="clear" w:color="auto" w:fill="CCFFCC"/>
          </w:tcPr>
          <w:p>
            <w:pPr>
              <w:spacing w:after="0"/>
              <w:rPr>
                <w:sz w:val="18"/>
                <w:szCs w:val="18"/>
                <w:color w:val="auto"/>
              </w:rPr>
            </w:pPr>
          </w:p>
        </w:tc>
        <w:tc>
          <w:tcPr>
            <w:tcW w:w="11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shd w:val="clear" w:color="auto" w:fill="CCFFCC"/>
          </w:tcPr>
          <w:p>
            <w:pPr>
              <w:spacing w:after="0"/>
              <w:rPr>
                <w:sz w:val="18"/>
                <w:szCs w:val="18"/>
                <w:color w:val="auto"/>
              </w:rPr>
            </w:pPr>
          </w:p>
        </w:tc>
      </w:tr>
      <w:tr>
        <w:trPr>
          <w:trHeight w:val="194"/>
        </w:trPr>
        <w:tc>
          <w:tcPr>
            <w:tcW w:w="82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10,868</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12,302</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2"/>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30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65,963</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62,778</w:t>
            </w:r>
          </w:p>
        </w:tc>
      </w:tr>
      <w:tr>
        <w:trPr>
          <w:trHeight w:val="194"/>
        </w:trPr>
        <w:tc>
          <w:tcPr>
            <w:tcW w:w="822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92,090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88,751</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2"/>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Operating lease liability</w:t>
            </w:r>
          </w:p>
        </w:tc>
        <w:tc>
          <w:tcPr>
            <w:tcW w:w="30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6,196</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6,602</w:t>
            </w:r>
          </w:p>
        </w:tc>
      </w:tr>
      <w:tr>
        <w:trPr>
          <w:trHeight w:val="186"/>
        </w:trPr>
        <w:tc>
          <w:tcPr>
            <w:tcW w:w="822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175,117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170,433</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2"/>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Deferred revenue, net of current portion</w:t>
            </w:r>
          </w:p>
        </w:tc>
        <w:tc>
          <w:tcPr>
            <w:tcW w:w="30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3,122</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438</w:t>
            </w:r>
          </w:p>
        </w:tc>
      </w:tr>
      <w:tr>
        <w:trPr>
          <w:trHeight w:val="194"/>
        </w:trPr>
        <w:tc>
          <w:tcPr>
            <w:tcW w:w="8220" w:type="dxa"/>
            <w:vAlign w:val="bottom"/>
          </w:tcPr>
          <w:p>
            <w:pPr>
              <w:ind w:left="140"/>
              <w:spacing w:after="0"/>
              <w:rPr>
                <w:sz w:val="20"/>
                <w:szCs w:val="20"/>
                <w:color w:val="auto"/>
              </w:rPr>
            </w:pPr>
            <w:r>
              <w:rPr>
                <w:rFonts w:ascii="Arial" w:cs="Arial" w:eastAsia="Arial" w:hAnsi="Arial"/>
                <w:sz w:val="14"/>
                <w:szCs w:val="14"/>
                <w:color w:val="auto"/>
              </w:rPr>
              <w:t>Convertible senior notes, net</w:t>
            </w:r>
          </w:p>
        </w:tc>
        <w:tc>
          <w:tcPr>
            <w:tcW w:w="30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184,389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179,012</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2"/>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72</w:t>
            </w:r>
          </w:p>
        </w:tc>
      </w:tr>
      <w:tr>
        <w:trPr>
          <w:trHeight w:val="194"/>
        </w:trPr>
        <w:tc>
          <w:tcPr>
            <w:tcW w:w="8220" w:type="dxa"/>
            <w:vAlign w:val="bottom"/>
          </w:tcPr>
          <w:p>
            <w:pPr>
              <w:ind w:left="140"/>
              <w:spacing w:after="0"/>
              <w:rPr>
                <w:sz w:val="20"/>
                <w:szCs w:val="20"/>
                <w:color w:val="auto"/>
              </w:rPr>
            </w:pPr>
            <w:r>
              <w:rPr>
                <w:rFonts w:ascii="Arial" w:cs="Arial" w:eastAsia="Arial" w:hAnsi="Arial"/>
                <w:sz w:val="14"/>
                <w:szCs w:val="14"/>
                <w:color w:val="auto"/>
              </w:rPr>
              <w:t>Operating lease liability, net of current portion</w:t>
            </w:r>
          </w:p>
        </w:tc>
        <w:tc>
          <w:tcPr>
            <w:tcW w:w="30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10,725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12,865</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2"/>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Deferred tax liability</w:t>
            </w:r>
          </w:p>
        </w:tc>
        <w:tc>
          <w:tcPr>
            <w:tcW w:w="30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1,394</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1,355</w:t>
            </w:r>
          </w:p>
        </w:tc>
      </w:tr>
      <w:tr>
        <w:trPr>
          <w:trHeight w:val="186"/>
        </w:trPr>
        <w:tc>
          <w:tcPr>
            <w:tcW w:w="8220" w:type="dxa"/>
            <w:vAlign w:val="bottom"/>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374,843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364,175</w:t>
            </w:r>
          </w:p>
        </w:tc>
      </w:tr>
      <w:tr>
        <w:trPr>
          <w:trHeight w:val="28"/>
        </w:trPr>
        <w:tc>
          <w:tcPr>
            <w:tcW w:w="82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822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1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240" w:type="dxa"/>
            <w:vAlign w:val="bottom"/>
            <w:shd w:val="clear" w:color="auto" w:fill="CCFFCC"/>
          </w:tcPr>
          <w:p>
            <w:pPr>
              <w:spacing w:after="0"/>
              <w:rPr>
                <w:sz w:val="23"/>
                <w:szCs w:val="23"/>
                <w:color w:val="auto"/>
              </w:rPr>
            </w:pPr>
          </w:p>
        </w:tc>
      </w:tr>
      <w:tr>
        <w:trPr>
          <w:trHeight w:val="206"/>
        </w:trPr>
        <w:tc>
          <w:tcPr>
            <w:tcW w:w="8220" w:type="dxa"/>
            <w:vAlign w:val="bottom"/>
          </w:tcPr>
          <w:p>
            <w:pPr>
              <w:ind w:left="20"/>
              <w:spacing w:after="0"/>
              <w:rPr>
                <w:sz w:val="20"/>
                <w:szCs w:val="20"/>
                <w:color w:val="auto"/>
              </w:rPr>
            </w:pPr>
            <w:r>
              <w:rPr>
                <w:rFonts w:ascii="Arial" w:cs="Arial" w:eastAsia="Arial" w:hAnsi="Arial"/>
                <w:sz w:val="14"/>
                <w:szCs w:val="14"/>
                <w:color w:val="auto"/>
              </w:rPr>
              <w:t>Commitments and contingencies (Note 11)</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4"/>
        </w:trPr>
        <w:tc>
          <w:tcPr>
            <w:tcW w:w="8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tcBorders>
              <w:bottom w:val="single" w:sz="8" w:color="CCFFCC"/>
            </w:tcBorders>
            <w:shd w:val="clear" w:color="auto" w:fill="CCFFCC"/>
          </w:tcPr>
          <w:p>
            <w:pPr>
              <w:spacing w:after="0"/>
              <w:rPr>
                <w:sz w:val="18"/>
                <w:szCs w:val="18"/>
                <w:color w:val="auto"/>
              </w:rPr>
            </w:pPr>
          </w:p>
        </w:tc>
        <w:tc>
          <w:tcPr>
            <w:tcW w:w="11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shd w:val="clear" w:color="auto" w:fill="CCFFCC"/>
          </w:tcPr>
          <w:p>
            <w:pPr>
              <w:spacing w:after="0"/>
              <w:rPr>
                <w:sz w:val="18"/>
                <w:szCs w:val="18"/>
                <w:color w:val="auto"/>
              </w:rPr>
            </w:pPr>
          </w:p>
        </w:tc>
      </w:tr>
      <w:tr>
        <w:trPr>
          <w:trHeight w:val="206"/>
        </w:trPr>
        <w:tc>
          <w:tcPr>
            <w:tcW w:w="8220" w:type="dxa"/>
            <w:vAlign w:val="bottom"/>
          </w:tcPr>
          <w:p>
            <w:pPr>
              <w:ind w:left="140"/>
              <w:spacing w:after="0"/>
              <w:rPr>
                <w:sz w:val="20"/>
                <w:szCs w:val="20"/>
                <w:color w:val="auto"/>
              </w:rPr>
            </w:pPr>
            <w:r>
              <w:rPr>
                <w:rFonts w:ascii="Arial" w:cs="Arial" w:eastAsia="Arial" w:hAnsi="Arial"/>
                <w:sz w:val="14"/>
                <w:szCs w:val="14"/>
                <w:color w:val="auto"/>
              </w:rPr>
              <w:t>Preferred stock, $0.001 par value - 5,000,000 shares authorized, none issued</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8220" w:type="dxa"/>
            <w:vAlign w:val="bottom"/>
            <w:shd w:val="clear" w:color="auto" w:fill="CCFFCC"/>
          </w:tcPr>
          <w:p>
            <w:pPr>
              <w:ind w:left="140"/>
              <w:spacing w:after="0"/>
              <w:rPr>
                <w:sz w:val="20"/>
                <w:szCs w:val="20"/>
                <w:color w:val="auto"/>
              </w:rPr>
            </w:pPr>
            <w:r>
              <w:rPr>
                <w:rFonts w:ascii="Arial" w:cs="Arial" w:eastAsia="Arial" w:hAnsi="Arial"/>
                <w:sz w:val="14"/>
                <w:szCs w:val="14"/>
                <w:color w:val="auto"/>
                <w:w w:val="89"/>
              </w:rPr>
              <w:t>Common stock, $0.001 par value - 200,000,000 shares authorized, 68,731,477 and 66,543,073 shares issued, 66,021,647 and 63,833,243 shares</w:t>
            </w:r>
          </w:p>
        </w:tc>
        <w:tc>
          <w:tcPr>
            <w:tcW w:w="30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r>
      <w:tr>
        <w:trPr>
          <w:trHeight w:val="187"/>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outstanding as of June 30, 2020 and December 31, 2019, respectively</w:t>
            </w:r>
          </w:p>
        </w:tc>
        <w:tc>
          <w:tcPr>
            <w:tcW w:w="300" w:type="dxa"/>
            <w:vAlign w:val="bottom"/>
            <w:tcBorders>
              <w:bottom w:val="single" w:sz="8" w:color="CCFFCC"/>
            </w:tcBorders>
            <w:shd w:val="clear" w:color="auto" w:fill="CCFFCC"/>
          </w:tcPr>
          <w:p>
            <w:pPr>
              <w:spacing w:after="0"/>
              <w:rPr>
                <w:sz w:val="16"/>
                <w:szCs w:val="16"/>
                <w:color w:val="auto"/>
              </w:rPr>
            </w:pPr>
          </w:p>
        </w:tc>
        <w:tc>
          <w:tcPr>
            <w:tcW w:w="11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12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67</w:t>
            </w:r>
          </w:p>
        </w:tc>
      </w:tr>
      <w:tr>
        <w:trPr>
          <w:trHeight w:val="206"/>
        </w:trPr>
        <w:tc>
          <w:tcPr>
            <w:tcW w:w="822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7"/>
                <w:szCs w:val="17"/>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488,229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436,557</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4"/>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Treasury stock</w:t>
            </w:r>
          </w:p>
        </w:tc>
        <w:tc>
          <w:tcPr>
            <w:tcW w:w="300" w:type="dxa"/>
            <w:vAlign w:val="bottom"/>
            <w:tcBorders>
              <w:bottom w:val="single" w:sz="8" w:color="CCFFCC"/>
            </w:tcBorders>
            <w:shd w:val="clear" w:color="auto" w:fill="CCFFCC"/>
          </w:tcPr>
          <w:p>
            <w:pPr>
              <w:spacing w:after="0"/>
              <w:rPr>
                <w:sz w:val="18"/>
                <w:szCs w:val="18"/>
                <w:color w:val="auto"/>
              </w:rPr>
            </w:pP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w:t>
            </w:r>
          </w:p>
        </w:tc>
      </w:tr>
      <w:tr>
        <w:trPr>
          <w:trHeight w:val="206"/>
        </w:trPr>
        <w:tc>
          <w:tcPr>
            <w:tcW w:w="822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(339,919)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(283,562)</w:t>
            </w:r>
          </w:p>
        </w:tc>
      </w:tr>
      <w:tr>
        <w:trPr>
          <w:trHeight w:val="28"/>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4"/>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Borders>
              <w:bottom w:val="single" w:sz="8" w:color="CCFFCC"/>
            </w:tcBorders>
            <w:shd w:val="clear" w:color="auto" w:fill="CCFFCC"/>
          </w:tcPr>
          <w:p>
            <w:pPr>
              <w:spacing w:after="0"/>
              <w:rPr>
                <w:sz w:val="20"/>
                <w:szCs w:val="20"/>
                <w:color w:val="auto"/>
              </w:rPr>
            </w:pP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(5,062)</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(4,524)</w:t>
            </w:r>
          </w:p>
        </w:tc>
      </w:tr>
      <w:tr>
        <w:trPr>
          <w:trHeight w:val="186"/>
        </w:trPr>
        <w:tc>
          <w:tcPr>
            <w:tcW w:w="8220" w:type="dxa"/>
            <w:vAlign w:val="bottom"/>
          </w:tcPr>
          <w:p>
            <w:pPr>
              <w:ind w:left="22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143,314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148,535</w:t>
            </w:r>
          </w:p>
        </w:tc>
      </w:tr>
      <w:tr>
        <w:trPr>
          <w:trHeight w:val="28"/>
        </w:trPr>
        <w:tc>
          <w:tcPr>
            <w:tcW w:w="82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82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518,157</w:t>
            </w:r>
          </w:p>
        </w:tc>
        <w:tc>
          <w:tcPr>
            <w:tcW w:w="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rPr>
              <w:t>512,710</w:t>
            </w:r>
          </w:p>
        </w:tc>
      </w:tr>
      <w:tr>
        <w:trPr>
          <w:trHeight w:val="20"/>
        </w:trPr>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 (unaudited).</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660"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LIVEPERSON, INC.</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2"/>
                <w:szCs w:val="12"/>
                <w:b w:val="1"/>
                <w:bCs w:val="1"/>
                <w:color w:val="auto"/>
                <w:w w:val="96"/>
              </w:rPr>
              <w:t>Three Months Ended</w:t>
            </w:r>
          </w:p>
        </w:tc>
        <w:tc>
          <w:tcPr>
            <w:tcW w:w="240" w:type="dxa"/>
            <w:vAlign w:val="bottom"/>
          </w:tcPr>
          <w:p>
            <w:pPr>
              <w:spacing w:after="0"/>
              <w:rPr>
                <w:sz w:val="13"/>
                <w:szCs w:val="13"/>
                <w:color w:val="auto"/>
              </w:rPr>
            </w:pPr>
          </w:p>
        </w:tc>
        <w:tc>
          <w:tcPr>
            <w:tcW w:w="2100" w:type="dxa"/>
            <w:vAlign w:val="bottom"/>
            <w:gridSpan w:val="4"/>
          </w:tcPr>
          <w:p>
            <w:pPr>
              <w:jc w:val="center"/>
              <w:ind w:right="133"/>
              <w:spacing w:after="0"/>
              <w:rPr>
                <w:sz w:val="20"/>
                <w:szCs w:val="20"/>
                <w:color w:val="auto"/>
              </w:rPr>
            </w:pPr>
            <w:r>
              <w:rPr>
                <w:rFonts w:ascii="Arial" w:cs="Arial" w:eastAsia="Arial" w:hAnsi="Arial"/>
                <w:sz w:val="12"/>
                <w:szCs w:val="12"/>
                <w:b w:val="1"/>
                <w:bCs w:val="1"/>
                <w:color w:val="auto"/>
                <w:w w:val="94"/>
              </w:rPr>
              <w:t>Six Months Ended</w:t>
            </w:r>
          </w:p>
        </w:tc>
      </w:tr>
      <w:tr>
        <w:trPr>
          <w:trHeight w:val="239"/>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2"/>
                <w:szCs w:val="12"/>
                <w:b w:val="1"/>
                <w:bCs w:val="1"/>
                <w:color w:val="auto"/>
                <w:w w:val="91"/>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2"/>
                <w:szCs w:val="12"/>
                <w:b w:val="1"/>
                <w:bCs w:val="1"/>
                <w:color w:val="auto"/>
                <w:w w:val="91"/>
              </w:rPr>
              <w:t>June 30,</w:t>
            </w:r>
          </w:p>
        </w:tc>
        <w:tc>
          <w:tcPr>
            <w:tcW w:w="840" w:type="dxa"/>
            <w:vAlign w:val="bottom"/>
            <w:tcBorders>
              <w:bottom w:val="single" w:sz="8" w:color="auto"/>
            </w:tcBorders>
          </w:tcPr>
          <w:p>
            <w:pPr>
              <w:spacing w:after="0"/>
              <w:rPr>
                <w:sz w:val="20"/>
                <w:szCs w:val="20"/>
                <w:color w:val="auto"/>
              </w:rPr>
            </w:pPr>
          </w:p>
        </w:tc>
      </w:tr>
      <w:tr>
        <w:trPr>
          <w:trHeight w:val="225"/>
        </w:trPr>
        <w:tc>
          <w:tcPr>
            <w:tcW w:w="6080" w:type="dxa"/>
            <w:vAlign w:val="bottom"/>
            <w:tcBorders>
              <w:bottom w:val="single" w:sz="8" w:color="CCFFCC"/>
            </w:tcBorders>
          </w:tcPr>
          <w:p>
            <w:pPr>
              <w:spacing w:after="0"/>
              <w:rPr>
                <w:sz w:val="19"/>
                <w:szCs w:val="19"/>
                <w:color w:val="auto"/>
              </w:rPr>
            </w:pPr>
          </w:p>
        </w:tc>
        <w:tc>
          <w:tcPr>
            <w:tcW w:w="34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2"/>
                <w:szCs w:val="12"/>
                <w:b w:val="1"/>
                <w:bCs w:val="1"/>
                <w:color w:val="auto"/>
              </w:rPr>
              <w:t>2019</w:t>
            </w:r>
          </w:p>
        </w:tc>
      </w:tr>
      <w:tr>
        <w:trPr>
          <w:trHeight w:val="219"/>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Revenue</w:t>
            </w:r>
          </w:p>
        </w:tc>
        <w:tc>
          <w:tcPr>
            <w:tcW w:w="580" w:type="dxa"/>
            <w:vAlign w:val="bottom"/>
            <w:tcBorders>
              <w:bottom w:val="single" w:sz="8" w:color="CCFFCC"/>
            </w:tcBorders>
            <w:gridSpan w:val="2"/>
            <w:shd w:val="clear" w:color="auto" w:fill="CCFFCC"/>
          </w:tcPr>
          <w:p>
            <w:pPr>
              <w:ind w:left="3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91,603</w:t>
            </w:r>
          </w:p>
        </w:tc>
        <w:tc>
          <w:tcPr>
            <w:tcW w:w="12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70,959</w:t>
            </w:r>
          </w:p>
        </w:tc>
        <w:tc>
          <w:tcPr>
            <w:tcW w:w="1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169,691</w:t>
            </w:r>
          </w:p>
        </w:tc>
        <w:tc>
          <w:tcPr>
            <w:tcW w:w="100" w:type="dxa"/>
            <w:vAlign w:val="bottom"/>
          </w:tcPr>
          <w:p>
            <w:pPr>
              <w:spacing w:after="0"/>
              <w:rPr>
                <w:sz w:val="19"/>
                <w:szCs w:val="19"/>
                <w:color w:val="auto"/>
              </w:rPr>
            </w:pPr>
          </w:p>
        </w:tc>
        <w:tc>
          <w:tcPr>
            <w:tcW w:w="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137,361</w:t>
            </w:r>
          </w:p>
        </w:tc>
      </w:tr>
      <w:tr>
        <w:trPr>
          <w:trHeight w:val="225"/>
        </w:trPr>
        <w:tc>
          <w:tcPr>
            <w:tcW w:w="6080" w:type="dxa"/>
            <w:vAlign w:val="bottom"/>
          </w:tcPr>
          <w:p>
            <w:pPr>
              <w:ind w:left="20"/>
              <w:spacing w:after="0"/>
              <w:rPr>
                <w:sz w:val="20"/>
                <w:szCs w:val="20"/>
                <w:color w:val="auto"/>
              </w:rPr>
            </w:pPr>
            <w:r>
              <w:rPr>
                <w:rFonts w:ascii="Arial" w:cs="Arial" w:eastAsia="Arial" w:hAnsi="Arial"/>
                <w:sz w:val="14"/>
                <w:szCs w:val="14"/>
                <w:color w:val="auto"/>
              </w:rPr>
              <w:t xml:space="preserve">Costs and expenses </w:t>
            </w:r>
            <w:r>
              <w:rPr>
                <w:rFonts w:ascii="Arial" w:cs="Arial" w:eastAsia="Arial" w:hAnsi="Arial"/>
                <w:sz w:val="18"/>
                <w:szCs w:val="18"/>
                <w:color w:val="auto"/>
                <w:vertAlign w:val="superscript"/>
              </w:rPr>
              <w:t>(1) (2)</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34"/>
        </w:trPr>
        <w:tc>
          <w:tcPr>
            <w:tcW w:w="6080" w:type="dxa"/>
            <w:vAlign w:val="bottom"/>
            <w:shd w:val="clear" w:color="auto" w:fill="CCFFCC"/>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18"/>
                <w:szCs w:val="18"/>
                <w:color w:val="auto"/>
                <w:vertAlign w:val="superscript"/>
              </w:rPr>
              <w:t>(3)</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27,707</w:t>
            </w:r>
          </w:p>
        </w:tc>
        <w:tc>
          <w:tcPr>
            <w:tcW w:w="1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18,049</w:t>
            </w: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4"/>
                <w:szCs w:val="14"/>
                <w:color w:val="auto"/>
              </w:rPr>
              <w:t>50,526</w:t>
            </w:r>
          </w:p>
        </w:tc>
        <w:tc>
          <w:tcPr>
            <w:tcW w:w="10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4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36,698</w:t>
            </w:r>
          </w:p>
        </w:tc>
      </w:tr>
      <w:tr>
        <w:trPr>
          <w:trHeight w:val="206"/>
        </w:trPr>
        <w:tc>
          <w:tcPr>
            <w:tcW w:w="608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34,618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39,343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77,298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72,379</w:t>
            </w:r>
          </w:p>
        </w:tc>
      </w:tr>
      <w:tr>
        <w:trPr>
          <w:trHeight w:val="28"/>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4"/>
        </w:trPr>
        <w:tc>
          <w:tcPr>
            <w:tcW w:w="60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16,353</w:t>
            </w:r>
          </w:p>
        </w:tc>
        <w:tc>
          <w:tcPr>
            <w:tcW w:w="1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13,763</w:t>
            </w: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32,822</w:t>
            </w:r>
          </w:p>
        </w:tc>
        <w:tc>
          <w:tcPr>
            <w:tcW w:w="10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27,930</w:t>
            </w:r>
          </w:p>
        </w:tc>
      </w:tr>
      <w:tr>
        <w:trPr>
          <w:trHeight w:val="206"/>
        </w:trPr>
        <w:tc>
          <w:tcPr>
            <w:tcW w:w="6080" w:type="dxa"/>
            <w:vAlign w:val="bottom"/>
          </w:tcPr>
          <w:p>
            <w:pPr>
              <w:ind w:left="14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26,967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20,182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52,681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38,355</w:t>
            </w:r>
          </w:p>
        </w:tc>
      </w:tr>
      <w:tr>
        <w:trPr>
          <w:trHeight w:val="28"/>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4"/>
        </w:trPr>
        <w:tc>
          <w:tcPr>
            <w:tcW w:w="60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Restructuring costs</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3,193</w:t>
            </w:r>
          </w:p>
        </w:tc>
        <w:tc>
          <w:tcPr>
            <w:tcW w:w="10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484</w:t>
            </w:r>
          </w:p>
        </w:tc>
      </w:tr>
      <w:tr>
        <w:trPr>
          <w:trHeight w:val="206"/>
        </w:trPr>
        <w:tc>
          <w:tcPr>
            <w:tcW w:w="6080" w:type="dxa"/>
            <w:vAlign w:val="bottom"/>
          </w:tcPr>
          <w:p>
            <w:pPr>
              <w:ind w:left="140"/>
              <w:spacing w:after="0"/>
              <w:rPr>
                <w:sz w:val="20"/>
                <w:szCs w:val="20"/>
                <w:color w:val="auto"/>
              </w:rPr>
            </w:pPr>
            <w:r>
              <w:rPr>
                <w:rFonts w:ascii="Arial" w:cs="Arial" w:eastAsia="Arial" w:hAnsi="Arial"/>
                <w:sz w:val="14"/>
                <w:szCs w:val="14"/>
                <w:color w:val="auto"/>
              </w:rPr>
              <w:t>Amortization of purchased intangibles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899</w:t>
            </w:r>
          </w:p>
        </w:tc>
      </w:tr>
      <w:tr>
        <w:trPr>
          <w:trHeight w:val="28"/>
        </w:trPr>
        <w:tc>
          <w:tcPr>
            <w:tcW w:w="6080" w:type="dxa"/>
            <w:vAlign w:val="bottom"/>
            <w:tcBorders>
              <w:bottom w:val="single" w:sz="8" w:color="CCFFCC"/>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5"/>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costs and expenses</w:t>
            </w:r>
          </w:p>
        </w:tc>
        <w:tc>
          <w:tcPr>
            <w:tcW w:w="34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106,049</w:t>
            </w:r>
          </w:p>
        </w:tc>
        <w:tc>
          <w:tcPr>
            <w:tcW w:w="12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91,980</w:t>
            </w:r>
          </w:p>
        </w:tc>
        <w:tc>
          <w:tcPr>
            <w:tcW w:w="1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217,329</w:t>
            </w:r>
          </w:p>
        </w:tc>
        <w:tc>
          <w:tcPr>
            <w:tcW w:w="10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CCFFCC"/>
            </w:tcBorders>
            <w:shd w:val="clear" w:color="auto" w:fill="CCFFCC"/>
          </w:tcPr>
          <w:p>
            <w:pPr>
              <w:spacing w:after="0"/>
              <w:rPr>
                <w:sz w:val="19"/>
                <w:szCs w:val="19"/>
                <w:color w:val="auto"/>
              </w:rPr>
            </w:pPr>
          </w:p>
        </w:tc>
        <w:tc>
          <w:tcPr>
            <w:tcW w:w="84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176,745</w:t>
            </w:r>
          </w:p>
        </w:tc>
      </w:tr>
      <w:tr>
        <w:trPr>
          <w:trHeight w:val="197"/>
        </w:trPr>
        <w:tc>
          <w:tcPr>
            <w:tcW w:w="60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(14,446)</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(47,638)</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(39,384)</w:t>
            </w:r>
          </w:p>
        </w:tc>
      </w:tr>
      <w:tr>
        <w:trPr>
          <w:trHeight w:val="28"/>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4"/>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Other (expense) income, net</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CCFFCC"/>
            </w:tcBorders>
            <w:shd w:val="clear" w:color="auto" w:fill="CCFFCC"/>
          </w:tcPr>
          <w:p>
            <w:pPr>
              <w:spacing w:after="0"/>
              <w:rPr>
                <w:sz w:val="18"/>
                <w:szCs w:val="18"/>
                <w:color w:val="auto"/>
              </w:rPr>
            </w:pPr>
          </w:p>
        </w:tc>
      </w:tr>
      <w:tr>
        <w:trPr>
          <w:trHeight w:val="206"/>
        </w:trPr>
        <w:tc>
          <w:tcPr>
            <w:tcW w:w="608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(2,684)</w:t>
            </w:r>
          </w:p>
        </w:tc>
      </w:tr>
      <w:tr>
        <w:trPr>
          <w:trHeight w:val="28"/>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4"/>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Other (expense) income, net</w:t>
            </w:r>
          </w:p>
        </w:tc>
        <w:tc>
          <w:tcPr>
            <w:tcW w:w="34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(1,309)</w:t>
            </w:r>
          </w:p>
        </w:tc>
        <w:tc>
          <w:tcPr>
            <w:tcW w:w="12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483</w:t>
            </w:r>
          </w:p>
        </w:tc>
      </w:tr>
      <w:tr>
        <w:trPr>
          <w:trHeight w:val="197"/>
        </w:trPr>
        <w:tc>
          <w:tcPr>
            <w:tcW w:w="6080" w:type="dxa"/>
            <w:vAlign w:val="bottom"/>
          </w:tcPr>
          <w:p>
            <w:pPr>
              <w:ind w:left="20"/>
              <w:spacing w:after="0"/>
              <w:rPr>
                <w:sz w:val="20"/>
                <w:szCs w:val="20"/>
                <w:color w:val="auto"/>
              </w:rPr>
            </w:pPr>
            <w:r>
              <w:rPr>
                <w:rFonts w:ascii="Arial" w:cs="Arial" w:eastAsia="Arial" w:hAnsi="Arial"/>
                <w:sz w:val="14"/>
                <w:szCs w:val="14"/>
                <w:color w:val="auto"/>
              </w:rPr>
              <w:t>Total other (expense) income, net</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(4,520)</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(2,267)</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(7,977)</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(2,201)</w:t>
            </w:r>
          </w:p>
        </w:tc>
      </w:tr>
      <w:tr>
        <w:trPr>
          <w:trHeight w:val="28"/>
        </w:trPr>
        <w:tc>
          <w:tcPr>
            <w:tcW w:w="6080" w:type="dxa"/>
            <w:vAlign w:val="bottom"/>
            <w:tcBorders>
              <w:bottom w:val="single" w:sz="8" w:color="CCFFCC"/>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Loss before provision for income taxes</w:t>
            </w:r>
          </w:p>
        </w:tc>
        <w:tc>
          <w:tcPr>
            <w:tcW w:w="34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(18,966)</w:t>
            </w:r>
          </w:p>
        </w:tc>
        <w:tc>
          <w:tcPr>
            <w:tcW w:w="12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(23,288)</w:t>
            </w:r>
          </w:p>
        </w:tc>
        <w:tc>
          <w:tcPr>
            <w:tcW w:w="10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(55,615)</w:t>
            </w:r>
          </w:p>
        </w:tc>
        <w:tc>
          <w:tcPr>
            <w:tcW w:w="10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(41,585)</w:t>
            </w:r>
          </w:p>
        </w:tc>
      </w:tr>
      <w:tr>
        <w:trPr>
          <w:trHeight w:val="206"/>
        </w:trPr>
        <w:tc>
          <w:tcPr>
            <w:tcW w:w="6080" w:type="dxa"/>
            <w:vAlign w:val="bottom"/>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1,292</w:t>
            </w:r>
          </w:p>
        </w:tc>
      </w:tr>
      <w:tr>
        <w:trPr>
          <w:trHeight w:val="28"/>
        </w:trPr>
        <w:tc>
          <w:tcPr>
            <w:tcW w:w="6080" w:type="dxa"/>
            <w:vAlign w:val="bottom"/>
            <w:tcBorders>
              <w:bottom w:val="single" w:sz="8" w:color="CCFFCC"/>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080" w:type="dxa"/>
            <w:vAlign w:val="bottom"/>
            <w:shd w:val="clear" w:color="auto" w:fill="CCFFCC"/>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gridSpan w:val="2"/>
            <w:shd w:val="clear" w:color="auto" w:fill="CCFFCC"/>
          </w:tcPr>
          <w:p>
            <w:pPr>
              <w:ind w:lef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(18,627)</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(23,987)</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(55,628)</w:t>
            </w:r>
          </w:p>
        </w:tc>
        <w:tc>
          <w:tcPr>
            <w:tcW w:w="38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(42,877)</w:t>
            </w:r>
          </w:p>
        </w:tc>
      </w:tr>
      <w:tr>
        <w:trPr>
          <w:trHeight w:val="20"/>
        </w:trPr>
        <w:tc>
          <w:tcPr>
            <w:tcW w:w="60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40"/>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4"/>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Net loss per share of common stock:</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CCFFCC"/>
            </w:tcBorders>
            <w:shd w:val="clear" w:color="auto" w:fill="CCFFCC"/>
          </w:tcPr>
          <w:p>
            <w:pPr>
              <w:spacing w:after="0"/>
              <w:rPr>
                <w:sz w:val="18"/>
                <w:szCs w:val="18"/>
                <w:color w:val="auto"/>
              </w:rPr>
            </w:pPr>
          </w:p>
        </w:tc>
      </w:tr>
      <w:tr>
        <w:trPr>
          <w:trHeight w:val="265"/>
        </w:trPr>
        <w:tc>
          <w:tcPr>
            <w:tcW w:w="6080" w:type="dxa"/>
            <w:vAlign w:val="bottom"/>
            <w:tcBorders>
              <w:bottom w:val="single" w:sz="8" w:color="CCFFCC"/>
            </w:tcBorders>
          </w:tcPr>
          <w:p>
            <w:pPr>
              <w:ind w:left="14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CCFFCC"/>
            </w:tcBorders>
          </w:tcPr>
          <w:p>
            <w:pPr>
              <w:spacing w:after="0"/>
              <w:rPr>
                <w:sz w:val="23"/>
                <w:szCs w:val="23"/>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(0.28)</w:t>
            </w:r>
          </w:p>
        </w:tc>
        <w:tc>
          <w:tcPr>
            <w:tcW w:w="120" w:type="dxa"/>
            <w:vAlign w:val="bottom"/>
            <w:tcBorders>
              <w:bottom w:val="single" w:sz="8" w:color="CCFFCC"/>
            </w:tcBorders>
          </w:tcPr>
          <w:p>
            <w:pPr>
              <w:spacing w:after="0"/>
              <w:rPr>
                <w:sz w:val="23"/>
                <w:szCs w:val="23"/>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(0.69)</w:t>
            </w:r>
          </w:p>
        </w:tc>
      </w:tr>
      <w:tr>
        <w:trPr>
          <w:trHeight w:val="209"/>
        </w:trPr>
        <w:tc>
          <w:tcPr>
            <w:tcW w:w="6080" w:type="dxa"/>
            <w:vAlign w:val="bottom"/>
            <w:shd w:val="clear" w:color="auto" w:fill="CCFFCC"/>
          </w:tcPr>
          <w:p>
            <w:pPr>
              <w:ind w:left="140"/>
              <w:spacing w:after="0"/>
              <w:rPr>
                <w:sz w:val="20"/>
                <w:szCs w:val="20"/>
                <w:color w:val="auto"/>
              </w:rPr>
            </w:pPr>
            <w:r>
              <w:rPr>
                <w:rFonts w:ascii="Arial" w:cs="Arial" w:eastAsia="Arial" w:hAnsi="Arial"/>
                <w:sz w:val="14"/>
                <w:szCs w:val="14"/>
                <w:color w:val="auto"/>
              </w:rPr>
              <w:t>Diluted</w:t>
            </w:r>
          </w:p>
        </w:tc>
        <w:tc>
          <w:tcPr>
            <w:tcW w:w="580" w:type="dxa"/>
            <w:vAlign w:val="bottom"/>
            <w:gridSpan w:val="2"/>
            <w:shd w:val="clear" w:color="auto" w:fill="CCFFCC"/>
          </w:tcPr>
          <w:p>
            <w:pPr>
              <w:ind w:lef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(0.38)</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(0.86)</w:t>
            </w:r>
          </w:p>
        </w:tc>
        <w:tc>
          <w:tcPr>
            <w:tcW w:w="38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(0.69)</w:t>
            </w:r>
          </w:p>
        </w:tc>
      </w:tr>
      <w:tr>
        <w:trPr>
          <w:trHeight w:val="20"/>
        </w:trPr>
        <w:tc>
          <w:tcPr>
            <w:tcW w:w="60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40"/>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4"/>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Weighted-average shares used to compute net loss per share:</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CCFFCC"/>
            </w:tcBorders>
            <w:shd w:val="clear" w:color="auto" w:fill="CCFFCC"/>
          </w:tcPr>
          <w:p>
            <w:pPr>
              <w:spacing w:after="0"/>
              <w:rPr>
                <w:sz w:val="18"/>
                <w:szCs w:val="18"/>
                <w:color w:val="auto"/>
              </w:rPr>
            </w:pPr>
          </w:p>
        </w:tc>
      </w:tr>
      <w:tr>
        <w:trPr>
          <w:trHeight w:val="265"/>
        </w:trPr>
        <w:tc>
          <w:tcPr>
            <w:tcW w:w="6080" w:type="dxa"/>
            <w:vAlign w:val="bottom"/>
            <w:tcBorders>
              <w:bottom w:val="single" w:sz="8" w:color="CCFFCC"/>
            </w:tcBorders>
          </w:tcPr>
          <w:p>
            <w:pPr>
              <w:ind w:left="14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CCFFC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65,650,782</w:t>
            </w:r>
          </w:p>
        </w:tc>
        <w:tc>
          <w:tcPr>
            <w:tcW w:w="120" w:type="dxa"/>
            <w:vAlign w:val="bottom"/>
            <w:tcBorders>
              <w:bottom w:val="single" w:sz="8" w:color="CCFFC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62,350,787</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65,023,302</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9"/>
              </w:rPr>
              <w:t>61,899,072</w:t>
            </w:r>
          </w:p>
        </w:tc>
      </w:tr>
      <w:tr>
        <w:trPr>
          <w:trHeight w:val="209"/>
        </w:trPr>
        <w:tc>
          <w:tcPr>
            <w:tcW w:w="608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ind w:right="53"/>
              <w:spacing w:after="0"/>
              <w:rPr>
                <w:sz w:val="20"/>
                <w:szCs w:val="20"/>
                <w:color w:val="auto"/>
              </w:rPr>
            </w:pPr>
            <w:r>
              <w:rPr>
                <w:rFonts w:ascii="Arial" w:cs="Arial" w:eastAsia="Arial" w:hAnsi="Arial"/>
                <w:sz w:val="14"/>
                <w:szCs w:val="14"/>
                <w:color w:val="auto"/>
              </w:rPr>
              <w:t>65,650,782</w:t>
            </w:r>
          </w:p>
        </w:tc>
        <w:tc>
          <w:tcPr>
            <w:tcW w:w="1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ind w:right="53"/>
              <w:spacing w:after="0"/>
              <w:rPr>
                <w:sz w:val="20"/>
                <w:szCs w:val="20"/>
                <w:color w:val="auto"/>
              </w:rPr>
            </w:pPr>
            <w:r>
              <w:rPr>
                <w:rFonts w:ascii="Arial" w:cs="Arial" w:eastAsia="Arial" w:hAnsi="Arial"/>
                <w:sz w:val="14"/>
                <w:szCs w:val="14"/>
                <w:color w:val="auto"/>
              </w:rPr>
              <w:t>62,350,787</w:t>
            </w:r>
          </w:p>
        </w:tc>
        <w:tc>
          <w:tcPr>
            <w:tcW w:w="10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4"/>
                <w:szCs w:val="14"/>
                <w:color w:val="auto"/>
              </w:rPr>
              <w:t>65,023,302</w:t>
            </w:r>
          </w:p>
        </w:tc>
        <w:tc>
          <w:tcPr>
            <w:tcW w:w="100" w:type="dxa"/>
            <w:vAlign w:val="bottom"/>
            <w:tcBorders>
              <w:bottom w:val="single" w:sz="8" w:color="auto"/>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ind w:right="53"/>
              <w:spacing w:after="0"/>
              <w:rPr>
                <w:sz w:val="20"/>
                <w:szCs w:val="20"/>
                <w:color w:val="auto"/>
              </w:rPr>
            </w:pPr>
            <w:r>
              <w:rPr>
                <w:rFonts w:ascii="Arial" w:cs="Arial" w:eastAsia="Arial" w:hAnsi="Arial"/>
                <w:sz w:val="14"/>
                <w:szCs w:val="14"/>
                <w:color w:val="auto"/>
                <w:w w:val="99"/>
              </w:rPr>
              <w:t>61,899,072</w:t>
            </w:r>
          </w:p>
        </w:tc>
      </w:tr>
      <w:tr>
        <w:trPr>
          <w:trHeight w:val="20"/>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0"/>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7"/>
        </w:trPr>
        <w:tc>
          <w:tcPr>
            <w:tcW w:w="6080" w:type="dxa"/>
            <w:vAlign w:val="bottom"/>
            <w:tcBorders>
              <w:bottom w:val="single" w:sz="8" w:color="auto"/>
            </w:tcBorders>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9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8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840" w:type="dxa"/>
            <w:vAlign w:val="bottom"/>
            <w:shd w:val="clear" w:color="auto" w:fill="CCFFCC"/>
          </w:tcPr>
          <w:p>
            <w:pPr>
              <w:spacing w:after="0"/>
              <w:rPr>
                <w:sz w:val="22"/>
                <w:szCs w:val="22"/>
                <w:color w:val="auto"/>
              </w:rPr>
            </w:pPr>
          </w:p>
        </w:tc>
      </w:tr>
      <w:tr>
        <w:trPr>
          <w:trHeight w:val="208"/>
        </w:trPr>
        <w:tc>
          <w:tcPr>
            <w:tcW w:w="6080" w:type="dxa"/>
            <w:vAlign w:val="bottom"/>
          </w:tcPr>
          <w:p>
            <w:pPr>
              <w:ind w:left="140"/>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2"/>
                <w:szCs w:val="12"/>
                <w:color w:val="auto"/>
              </w:rPr>
              <w:t>Amounts include stock-based compensation expense, as follows: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6080" w:type="dxa"/>
            <w:vAlign w:val="bottom"/>
            <w:shd w:val="clear" w:color="auto" w:fill="CCFFCC"/>
          </w:tcPr>
          <w:p>
            <w:pPr>
              <w:ind w:left="320"/>
              <w:spacing w:after="0"/>
              <w:rPr>
                <w:sz w:val="20"/>
                <w:szCs w:val="20"/>
                <w:color w:val="auto"/>
              </w:rPr>
            </w:pPr>
            <w:r>
              <w:rPr>
                <w:rFonts w:ascii="Arial" w:cs="Arial" w:eastAsia="Arial" w:hAnsi="Arial"/>
                <w:sz w:val="12"/>
                <w:szCs w:val="12"/>
                <w:color w:val="auto"/>
              </w:rPr>
              <w:t>Cost of revenue</w:t>
            </w:r>
          </w:p>
        </w:tc>
        <w:tc>
          <w:tcPr>
            <w:tcW w:w="580" w:type="dxa"/>
            <w:vAlign w:val="bottom"/>
            <w:gridSpan w:val="2"/>
            <w:shd w:val="clear" w:color="auto" w:fill="CCFFCC"/>
          </w:tcPr>
          <w:p>
            <w:pPr>
              <w:ind w:left="3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2,199</w:t>
            </w:r>
          </w:p>
        </w:tc>
        <w:tc>
          <w:tcPr>
            <w:tcW w:w="120" w:type="dxa"/>
            <w:vAlign w:val="bottom"/>
            <w:shd w:val="clear" w:color="auto" w:fill="CCFFCC"/>
          </w:tcPr>
          <w:p>
            <w:pPr>
              <w:spacing w:after="0"/>
              <w:rPr>
                <w:sz w:val="20"/>
                <w:szCs w:val="20"/>
                <w:color w:val="auto"/>
              </w:rPr>
            </w:pPr>
          </w:p>
        </w:tc>
        <w:tc>
          <w:tcPr>
            <w:tcW w:w="280" w:type="dxa"/>
            <w:vAlign w:val="bottom"/>
            <w:shd w:val="clear" w:color="auto" w:fill="CCFFCC"/>
          </w:tcPr>
          <w:p>
            <w:pPr>
              <w:ind w:lef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528</w:t>
            </w: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2"/>
                <w:szCs w:val="12"/>
                <w:color w:val="auto"/>
              </w:rPr>
              <w:t>3,448</w:t>
            </w:r>
          </w:p>
        </w:tc>
        <w:tc>
          <w:tcPr>
            <w:tcW w:w="38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1,148</w:t>
            </w:r>
          </w:p>
        </w:tc>
      </w:tr>
      <w:tr>
        <w:trPr>
          <w:trHeight w:val="228"/>
        </w:trPr>
        <w:tc>
          <w:tcPr>
            <w:tcW w:w="6080" w:type="dxa"/>
            <w:vAlign w:val="bottom"/>
          </w:tcPr>
          <w:p>
            <w:pPr>
              <w:ind w:left="320"/>
              <w:spacing w:after="0"/>
              <w:rPr>
                <w:sz w:val="20"/>
                <w:szCs w:val="20"/>
                <w:color w:val="auto"/>
              </w:rPr>
            </w:pPr>
            <w:r>
              <w:rPr>
                <w:rFonts w:ascii="Arial" w:cs="Arial" w:eastAsia="Arial" w:hAnsi="Arial"/>
                <w:sz w:val="12"/>
                <w:szCs w:val="12"/>
                <w:color w:val="auto"/>
              </w:rPr>
              <w:t>Sales and marketing</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2"/>
                <w:szCs w:val="12"/>
                <w:color w:val="auto"/>
              </w:rPr>
              <w:t>2,525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2,095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2"/>
                <w:szCs w:val="12"/>
                <w:color w:val="auto"/>
              </w:rPr>
              <w:t>7,664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2"/>
                <w:szCs w:val="12"/>
                <w:color w:val="auto"/>
              </w:rPr>
              <w:t>3,694</w:t>
            </w:r>
          </w:p>
        </w:tc>
      </w:tr>
      <w:tr>
        <w:trPr>
          <w:trHeight w:val="239"/>
        </w:trPr>
        <w:tc>
          <w:tcPr>
            <w:tcW w:w="6080" w:type="dxa"/>
            <w:vAlign w:val="bottom"/>
            <w:shd w:val="clear" w:color="auto" w:fill="CCFFCC"/>
          </w:tcPr>
          <w:p>
            <w:pPr>
              <w:ind w:left="320"/>
              <w:spacing w:after="0"/>
              <w:rPr>
                <w:sz w:val="20"/>
                <w:szCs w:val="20"/>
                <w:color w:val="auto"/>
              </w:rPr>
            </w:pPr>
            <w:r>
              <w:rPr>
                <w:rFonts w:ascii="Arial" w:cs="Arial" w:eastAsia="Arial" w:hAnsi="Arial"/>
                <w:sz w:val="12"/>
                <w:szCs w:val="12"/>
                <w:color w:val="auto"/>
              </w:rPr>
              <w:t>General and administrative</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4,083</w:t>
            </w:r>
          </w:p>
        </w:tc>
        <w:tc>
          <w:tcPr>
            <w:tcW w:w="1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2,825</w:t>
            </w: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2"/>
                <w:szCs w:val="12"/>
                <w:color w:val="auto"/>
              </w:rPr>
              <w:t>6,811</w:t>
            </w:r>
          </w:p>
        </w:tc>
        <w:tc>
          <w:tcPr>
            <w:tcW w:w="10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4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5,391</w:t>
            </w:r>
          </w:p>
        </w:tc>
      </w:tr>
      <w:tr>
        <w:trPr>
          <w:trHeight w:val="228"/>
        </w:trPr>
        <w:tc>
          <w:tcPr>
            <w:tcW w:w="6080" w:type="dxa"/>
            <w:vAlign w:val="bottom"/>
          </w:tcPr>
          <w:p>
            <w:pPr>
              <w:ind w:left="320"/>
              <w:spacing w:after="0"/>
              <w:rPr>
                <w:sz w:val="20"/>
                <w:szCs w:val="20"/>
                <w:color w:val="auto"/>
              </w:rPr>
            </w:pPr>
            <w:r>
              <w:rPr>
                <w:rFonts w:ascii="Arial" w:cs="Arial" w:eastAsia="Arial" w:hAnsi="Arial"/>
                <w:sz w:val="12"/>
                <w:szCs w:val="12"/>
                <w:color w:val="auto"/>
              </w:rPr>
              <w:t>Product development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2"/>
                <w:szCs w:val="12"/>
                <w:color w:val="auto"/>
              </w:rPr>
              <w:t>7,138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3,857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2"/>
                <w:szCs w:val="12"/>
                <w:color w:val="auto"/>
              </w:rPr>
              <w:t>12,719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2"/>
                <w:szCs w:val="12"/>
                <w:color w:val="auto"/>
              </w:rPr>
              <w:t>6,238</w:t>
            </w:r>
          </w:p>
        </w:tc>
      </w:tr>
      <w:tr>
        <w:trPr>
          <w:trHeight w:val="239"/>
        </w:trPr>
        <w:tc>
          <w:tcPr>
            <w:tcW w:w="60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r>
      <w:tr>
        <w:trPr>
          <w:trHeight w:val="228"/>
        </w:trPr>
        <w:tc>
          <w:tcPr>
            <w:tcW w:w="6080" w:type="dxa"/>
            <w:vAlign w:val="bottom"/>
          </w:tcPr>
          <w:p>
            <w:pPr>
              <w:ind w:left="140"/>
              <w:spacing w:after="0"/>
              <w:rPr>
                <w:sz w:val="20"/>
                <w:szCs w:val="20"/>
                <w:color w:val="auto"/>
              </w:rPr>
            </w:pPr>
            <w:r>
              <w:rPr>
                <w:rFonts w:ascii="Arial" w:cs="Arial" w:eastAsia="Arial" w:hAnsi="Arial"/>
                <w:sz w:val="8"/>
                <w:szCs w:val="8"/>
                <w:color w:val="auto"/>
              </w:rPr>
              <w:t xml:space="preserve">(2) </w:t>
            </w:r>
            <w:r>
              <w:rPr>
                <w:rFonts w:ascii="Arial" w:cs="Arial" w:eastAsia="Arial" w:hAnsi="Arial"/>
                <w:sz w:val="12"/>
                <w:szCs w:val="12"/>
                <w:color w:val="auto"/>
              </w:rPr>
              <w:t>Amounts include depreciation expense, as follows: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9"/>
        </w:trPr>
        <w:tc>
          <w:tcPr>
            <w:tcW w:w="6080" w:type="dxa"/>
            <w:vAlign w:val="bottom"/>
            <w:shd w:val="clear" w:color="auto" w:fill="CCFFCC"/>
          </w:tcPr>
          <w:p>
            <w:pPr>
              <w:ind w:left="320"/>
              <w:spacing w:after="0"/>
              <w:rPr>
                <w:sz w:val="20"/>
                <w:szCs w:val="20"/>
                <w:color w:val="auto"/>
              </w:rPr>
            </w:pPr>
            <w:r>
              <w:rPr>
                <w:rFonts w:ascii="Arial" w:cs="Arial" w:eastAsia="Arial" w:hAnsi="Arial"/>
                <w:sz w:val="12"/>
                <w:szCs w:val="12"/>
                <w:color w:val="auto"/>
              </w:rPr>
              <w:t>Cost of revenue</w:t>
            </w:r>
          </w:p>
        </w:tc>
        <w:tc>
          <w:tcPr>
            <w:tcW w:w="580" w:type="dxa"/>
            <w:vAlign w:val="bottom"/>
            <w:gridSpan w:val="2"/>
            <w:shd w:val="clear" w:color="auto" w:fill="CCFFCC"/>
          </w:tcPr>
          <w:p>
            <w:pPr>
              <w:ind w:left="3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2,537</w:t>
            </w:r>
          </w:p>
        </w:tc>
        <w:tc>
          <w:tcPr>
            <w:tcW w:w="120" w:type="dxa"/>
            <w:vAlign w:val="bottom"/>
            <w:shd w:val="clear" w:color="auto" w:fill="CCFFCC"/>
          </w:tcPr>
          <w:p>
            <w:pPr>
              <w:spacing w:after="0"/>
              <w:rPr>
                <w:sz w:val="20"/>
                <w:szCs w:val="20"/>
                <w:color w:val="auto"/>
              </w:rPr>
            </w:pPr>
          </w:p>
        </w:tc>
        <w:tc>
          <w:tcPr>
            <w:tcW w:w="280" w:type="dxa"/>
            <w:vAlign w:val="bottom"/>
            <w:shd w:val="clear" w:color="auto" w:fill="CCFFCC"/>
          </w:tcPr>
          <w:p>
            <w:pPr>
              <w:ind w:lef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1,954</w:t>
            </w: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2"/>
                <w:szCs w:val="12"/>
                <w:color w:val="auto"/>
              </w:rPr>
              <w:t>4,909</w:t>
            </w:r>
          </w:p>
        </w:tc>
        <w:tc>
          <w:tcPr>
            <w:tcW w:w="10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4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3,981</w:t>
            </w:r>
          </w:p>
        </w:tc>
      </w:tr>
      <w:tr>
        <w:trPr>
          <w:trHeight w:val="228"/>
        </w:trPr>
        <w:tc>
          <w:tcPr>
            <w:tcW w:w="6080" w:type="dxa"/>
            <w:vAlign w:val="bottom"/>
          </w:tcPr>
          <w:p>
            <w:pPr>
              <w:ind w:left="320"/>
              <w:spacing w:after="0"/>
              <w:rPr>
                <w:sz w:val="20"/>
                <w:szCs w:val="20"/>
                <w:color w:val="auto"/>
              </w:rPr>
            </w:pPr>
            <w:r>
              <w:rPr>
                <w:rFonts w:ascii="Arial" w:cs="Arial" w:eastAsia="Arial" w:hAnsi="Arial"/>
                <w:sz w:val="12"/>
                <w:szCs w:val="12"/>
                <w:color w:val="auto"/>
              </w:rPr>
              <w:t>Sales and marketing</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2"/>
                <w:szCs w:val="12"/>
                <w:color w:val="auto"/>
              </w:rPr>
              <w:t>620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2"/>
                <w:szCs w:val="12"/>
                <w:color w:val="auto"/>
              </w:rPr>
              <w:t>1,287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2"/>
                <w:szCs w:val="12"/>
                <w:color w:val="auto"/>
              </w:rPr>
              <w:t>786</w:t>
            </w:r>
          </w:p>
        </w:tc>
      </w:tr>
      <w:tr>
        <w:trPr>
          <w:trHeight w:val="239"/>
        </w:trPr>
        <w:tc>
          <w:tcPr>
            <w:tcW w:w="6080" w:type="dxa"/>
            <w:vAlign w:val="bottom"/>
            <w:shd w:val="clear" w:color="auto" w:fill="CCFFCC"/>
          </w:tcPr>
          <w:p>
            <w:pPr>
              <w:ind w:left="320"/>
              <w:spacing w:after="0"/>
              <w:rPr>
                <w:sz w:val="20"/>
                <w:szCs w:val="20"/>
                <w:color w:val="auto"/>
              </w:rPr>
            </w:pPr>
            <w:r>
              <w:rPr>
                <w:rFonts w:ascii="Arial" w:cs="Arial" w:eastAsia="Arial" w:hAnsi="Arial"/>
                <w:sz w:val="12"/>
                <w:szCs w:val="12"/>
                <w:color w:val="auto"/>
              </w:rPr>
              <w:t>General and administrative</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225</w:t>
            </w: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2"/>
                <w:szCs w:val="12"/>
                <w:color w:val="auto"/>
              </w:rPr>
              <w:t>154</w:t>
            </w:r>
          </w:p>
        </w:tc>
        <w:tc>
          <w:tcPr>
            <w:tcW w:w="10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4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456</w:t>
            </w:r>
          </w:p>
        </w:tc>
      </w:tr>
      <w:tr>
        <w:trPr>
          <w:trHeight w:val="228"/>
        </w:trPr>
        <w:tc>
          <w:tcPr>
            <w:tcW w:w="6080" w:type="dxa"/>
            <w:vAlign w:val="bottom"/>
          </w:tcPr>
          <w:p>
            <w:pPr>
              <w:ind w:left="320"/>
              <w:spacing w:after="0"/>
              <w:rPr>
                <w:sz w:val="20"/>
                <w:szCs w:val="20"/>
                <w:color w:val="auto"/>
              </w:rPr>
            </w:pPr>
            <w:r>
              <w:rPr>
                <w:rFonts w:ascii="Arial" w:cs="Arial" w:eastAsia="Arial" w:hAnsi="Arial"/>
                <w:sz w:val="12"/>
                <w:szCs w:val="12"/>
                <w:color w:val="auto"/>
              </w:rPr>
              <w:t>Product development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2"/>
                <w:szCs w:val="12"/>
                <w:color w:val="auto"/>
              </w:rPr>
              <w:t>2,532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1,154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2"/>
                <w:szCs w:val="12"/>
                <w:color w:val="auto"/>
              </w:rPr>
              <w:t>4,924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2"/>
                <w:szCs w:val="12"/>
                <w:color w:val="auto"/>
              </w:rPr>
              <w:t>2,420</w:t>
            </w:r>
          </w:p>
        </w:tc>
      </w:tr>
      <w:tr>
        <w:trPr>
          <w:trHeight w:val="251"/>
        </w:trPr>
        <w:tc>
          <w:tcPr>
            <w:tcW w:w="60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r>
      <w:tr>
        <w:trPr>
          <w:trHeight w:val="228"/>
        </w:trPr>
        <w:tc>
          <w:tcPr>
            <w:tcW w:w="6080" w:type="dxa"/>
            <w:vAlign w:val="bottom"/>
          </w:tcPr>
          <w:p>
            <w:pPr>
              <w:ind w:left="140"/>
              <w:spacing w:after="0"/>
              <w:rPr>
                <w:sz w:val="20"/>
                <w:szCs w:val="20"/>
                <w:color w:val="auto"/>
              </w:rPr>
            </w:pPr>
            <w:r>
              <w:rPr>
                <w:rFonts w:ascii="Arial" w:cs="Arial" w:eastAsia="Arial" w:hAnsi="Arial"/>
                <w:sz w:val="8"/>
                <w:szCs w:val="8"/>
                <w:color w:val="auto"/>
              </w:rPr>
              <w:t xml:space="preserve">(3) </w:t>
            </w:r>
            <w:r>
              <w:rPr>
                <w:rFonts w:ascii="Arial" w:cs="Arial" w:eastAsia="Arial" w:hAnsi="Arial"/>
                <w:sz w:val="12"/>
                <w:szCs w:val="12"/>
                <w:color w:val="auto"/>
              </w:rPr>
              <w:t>Amounts include amortization of purchased intangibles, as follows: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9"/>
        </w:trPr>
        <w:tc>
          <w:tcPr>
            <w:tcW w:w="6080" w:type="dxa"/>
            <w:vAlign w:val="bottom"/>
            <w:shd w:val="clear" w:color="auto" w:fill="CCFFCC"/>
          </w:tcPr>
          <w:p>
            <w:pPr>
              <w:ind w:left="320"/>
              <w:spacing w:after="0"/>
              <w:rPr>
                <w:sz w:val="20"/>
                <w:szCs w:val="20"/>
                <w:color w:val="auto"/>
              </w:rPr>
            </w:pPr>
            <w:r>
              <w:rPr>
                <w:rFonts w:ascii="Arial" w:cs="Arial" w:eastAsia="Arial" w:hAnsi="Arial"/>
                <w:sz w:val="12"/>
                <w:szCs w:val="12"/>
                <w:color w:val="auto"/>
              </w:rPr>
              <w:t>Cost of revenue</w:t>
            </w:r>
          </w:p>
        </w:tc>
        <w:tc>
          <w:tcPr>
            <w:tcW w:w="580" w:type="dxa"/>
            <w:vAlign w:val="bottom"/>
            <w:gridSpan w:val="2"/>
            <w:shd w:val="clear" w:color="auto" w:fill="CCFFCC"/>
          </w:tcPr>
          <w:p>
            <w:pPr>
              <w:ind w:left="3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284</w:t>
            </w:r>
          </w:p>
        </w:tc>
        <w:tc>
          <w:tcPr>
            <w:tcW w:w="120" w:type="dxa"/>
            <w:vAlign w:val="bottom"/>
            <w:shd w:val="clear" w:color="auto" w:fill="CCFFCC"/>
          </w:tcPr>
          <w:p>
            <w:pPr>
              <w:spacing w:after="0"/>
              <w:rPr>
                <w:sz w:val="20"/>
                <w:szCs w:val="20"/>
                <w:color w:val="auto"/>
              </w:rPr>
            </w:pPr>
          </w:p>
        </w:tc>
        <w:tc>
          <w:tcPr>
            <w:tcW w:w="280" w:type="dxa"/>
            <w:vAlign w:val="bottom"/>
            <w:shd w:val="clear" w:color="auto" w:fill="CCFFCC"/>
          </w:tcPr>
          <w:p>
            <w:pPr>
              <w:ind w:lef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285</w:t>
            </w: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ind w:lef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FFCC"/>
          </w:tcPr>
          <w:p>
            <w:pPr>
              <w:jc w:val="right"/>
              <w:ind w:right="33"/>
              <w:spacing w:after="0"/>
              <w:rPr>
                <w:sz w:val="20"/>
                <w:szCs w:val="20"/>
                <w:color w:val="auto"/>
              </w:rPr>
            </w:pPr>
            <w:r>
              <w:rPr>
                <w:rFonts w:ascii="Arial" w:cs="Arial" w:eastAsia="Arial" w:hAnsi="Arial"/>
                <w:sz w:val="12"/>
                <w:szCs w:val="12"/>
                <w:color w:val="auto"/>
              </w:rPr>
              <w:t>569</w:t>
            </w:r>
          </w:p>
        </w:tc>
        <w:tc>
          <w:tcPr>
            <w:tcW w:w="380" w:type="dxa"/>
            <w:vAlign w:val="bottom"/>
            <w:gridSpan w:val="2"/>
            <w:shd w:val="clear" w:color="auto" w:fill="CCFFCC"/>
          </w:tcPr>
          <w:p>
            <w:pPr>
              <w:ind w:left="1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FFCC"/>
          </w:tcPr>
          <w:p>
            <w:pPr>
              <w:jc w:val="right"/>
              <w:ind w:right="53"/>
              <w:spacing w:after="0"/>
              <w:rPr>
                <w:sz w:val="20"/>
                <w:szCs w:val="20"/>
                <w:color w:val="auto"/>
              </w:rPr>
            </w:pPr>
            <w:r>
              <w:rPr>
                <w:rFonts w:ascii="Arial" w:cs="Arial" w:eastAsia="Arial" w:hAnsi="Arial"/>
                <w:sz w:val="12"/>
                <w:szCs w:val="12"/>
                <w:color w:val="auto"/>
              </w:rPr>
              <w:t>570</w:t>
            </w:r>
          </w:p>
        </w:tc>
      </w:tr>
    </w:tbl>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 (unaudited).</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320" w:top="660" w:right="319" w:bottom="1440" w:gutter="0" w:footer="0" w:header="0"/>
        </w:sectPr>
      </w:pPr>
    </w:p>
    <w:bookmarkStart w:id="6" w:name="page7"/>
    <w:bookmarkEnd w:id="6"/>
    <w:p>
      <w:pPr>
        <w:ind w:left="4920"/>
        <w:spacing w:after="0"/>
        <w:rPr>
          <w:sz w:val="20"/>
          <w:szCs w:val="20"/>
          <w:color w:val="auto"/>
        </w:rPr>
      </w:pPr>
      <w:r>
        <w:rPr>
          <w:rFonts w:ascii="Arial" w:cs="Arial" w:eastAsia="Arial" w:hAnsi="Arial"/>
          <w:sz w:val="16"/>
          <w:szCs w:val="16"/>
          <w:b w:val="1"/>
          <w:bCs w:val="1"/>
          <w:color w:val="auto"/>
        </w:rPr>
        <w:t>LIVEPERSON, INC.</w:t>
      </w:r>
    </w:p>
    <w:p>
      <w:pPr>
        <w:spacing w:after="0" w:line="96"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right"/>
              <w:ind w:right="652"/>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Pr>
          <w:p>
            <w:pPr>
              <w:spacing w:after="0"/>
              <w:rPr>
                <w:sz w:val="13"/>
                <w:szCs w:val="13"/>
                <w:color w:val="auto"/>
              </w:rPr>
            </w:pPr>
          </w:p>
        </w:tc>
        <w:tc>
          <w:tcPr>
            <w:tcW w:w="2060" w:type="dxa"/>
            <w:vAlign w:val="bottom"/>
            <w:gridSpan w:val="3"/>
          </w:tcPr>
          <w:p>
            <w:pPr>
              <w:jc w:val="right"/>
              <w:ind w:right="592"/>
              <w:spacing w:after="0"/>
              <w:rPr>
                <w:sz w:val="20"/>
                <w:szCs w:val="20"/>
                <w:color w:val="auto"/>
              </w:rPr>
            </w:pPr>
            <w:r>
              <w:rPr>
                <w:rFonts w:ascii="Arial" w:cs="Arial" w:eastAsia="Arial" w:hAnsi="Arial"/>
                <w:sz w:val="12"/>
                <w:szCs w:val="12"/>
                <w:b w:val="1"/>
                <w:bCs w:val="1"/>
                <w:color w:val="auto"/>
              </w:rPr>
              <w:t>Six Months Ended</w:t>
            </w:r>
          </w:p>
        </w:tc>
      </w:tr>
      <w:tr>
        <w:trPr>
          <w:trHeight w:val="239"/>
        </w:trPr>
        <w:tc>
          <w:tcPr>
            <w:tcW w:w="6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20"/>
                <w:szCs w:val="20"/>
                <w:color w:val="auto"/>
              </w:rPr>
            </w:pPr>
          </w:p>
        </w:tc>
      </w:tr>
      <w:tr>
        <w:trPr>
          <w:trHeight w:val="225"/>
        </w:trPr>
        <w:tc>
          <w:tcPr>
            <w:tcW w:w="63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2019</w:t>
            </w:r>
          </w:p>
        </w:tc>
      </w:tr>
      <w:tr>
        <w:trPr>
          <w:trHeight w:val="211"/>
        </w:trPr>
        <w:tc>
          <w:tcPr>
            <w:tcW w:w="6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(18,627)</w:t>
            </w:r>
          </w:p>
        </w:tc>
        <w:tc>
          <w:tcPr>
            <w:tcW w:w="12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4"/>
                <w:szCs w:val="14"/>
                <w:color w:val="auto"/>
              </w:rPr>
              <w:t>(23,987)</w:t>
            </w:r>
          </w:p>
        </w:tc>
        <w:tc>
          <w:tcPr>
            <w:tcW w:w="40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FFCC"/>
            </w:tcBorders>
            <w:shd w:val="clear" w:color="auto" w:fill="CCFFCC"/>
          </w:tcPr>
          <w:p>
            <w:pPr>
              <w:jc w:val="right"/>
              <w:ind w:right="34"/>
              <w:spacing w:after="0"/>
              <w:rPr>
                <w:sz w:val="20"/>
                <w:szCs w:val="20"/>
                <w:color w:val="auto"/>
              </w:rPr>
            </w:pPr>
            <w:r>
              <w:rPr>
                <w:rFonts w:ascii="Arial" w:cs="Arial" w:eastAsia="Arial" w:hAnsi="Arial"/>
                <w:sz w:val="14"/>
                <w:szCs w:val="14"/>
                <w:color w:val="auto"/>
              </w:rPr>
              <w:t>(55,628)</w:t>
            </w:r>
          </w:p>
        </w:tc>
        <w:tc>
          <w:tcPr>
            <w:tcW w:w="38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(42,877)</w:t>
            </w:r>
          </w:p>
        </w:tc>
      </w:tr>
      <w:tr>
        <w:trPr>
          <w:trHeight w:val="206"/>
        </w:trPr>
        <w:tc>
          <w:tcPr>
            <w:tcW w:w="63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(7)</w:t>
            </w:r>
          </w:p>
        </w:tc>
        <w:tc>
          <w:tcPr>
            <w:tcW w:w="4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Arial" w:cs="Arial" w:eastAsia="Arial" w:hAnsi="Arial"/>
                <w:sz w:val="14"/>
                <w:szCs w:val="14"/>
                <w:color w:val="auto"/>
              </w:rPr>
              <w:t>538</w:t>
            </w:r>
          </w:p>
        </w:tc>
        <w:tc>
          <w:tcPr>
            <w:tcW w:w="38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200</w:t>
            </w:r>
          </w:p>
        </w:tc>
      </w:tr>
      <w:tr>
        <w:trPr>
          <w:trHeight w:val="28"/>
        </w:trPr>
        <w:tc>
          <w:tcPr>
            <w:tcW w:w="63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Comprehensive loss</w:t>
            </w:r>
          </w:p>
        </w:tc>
        <w:tc>
          <w:tcPr>
            <w:tcW w:w="28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(20,558)</w:t>
            </w:r>
          </w:p>
        </w:tc>
        <w:tc>
          <w:tcPr>
            <w:tcW w:w="12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FFCC"/>
          </w:tcPr>
          <w:p>
            <w:pPr>
              <w:jc w:val="right"/>
              <w:ind w:right="92"/>
              <w:spacing w:after="0"/>
              <w:rPr>
                <w:sz w:val="20"/>
                <w:szCs w:val="20"/>
                <w:color w:val="auto"/>
              </w:rPr>
            </w:pPr>
            <w:r>
              <w:rPr>
                <w:rFonts w:ascii="Arial" w:cs="Arial" w:eastAsia="Arial" w:hAnsi="Arial"/>
                <w:sz w:val="14"/>
                <w:szCs w:val="14"/>
                <w:color w:val="auto"/>
              </w:rPr>
              <w:t>(23,994)</w:t>
            </w:r>
          </w:p>
        </w:tc>
        <w:tc>
          <w:tcPr>
            <w:tcW w:w="4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FFCC"/>
          </w:tcPr>
          <w:p>
            <w:pPr>
              <w:jc w:val="right"/>
              <w:ind w:right="34"/>
              <w:spacing w:after="0"/>
              <w:rPr>
                <w:sz w:val="20"/>
                <w:szCs w:val="20"/>
                <w:color w:val="auto"/>
              </w:rPr>
            </w:pPr>
            <w:r>
              <w:rPr>
                <w:rFonts w:ascii="Arial" w:cs="Arial" w:eastAsia="Arial" w:hAnsi="Arial"/>
                <w:sz w:val="14"/>
                <w:szCs w:val="14"/>
                <w:color w:val="auto"/>
              </w:rPr>
              <w:t>(55,090)</w:t>
            </w:r>
          </w:p>
        </w:tc>
        <w:tc>
          <w:tcPr>
            <w:tcW w:w="38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(42,677)</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 (unaudited).</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320" w:top="660" w:right="319" w:bottom="1440" w:gutter="0" w:footer="0" w:header="0"/>
        </w:sectPr>
      </w:pPr>
    </w:p>
    <w:bookmarkStart w:id="7" w:name="page8"/>
    <w:bookmarkEnd w:id="7"/>
    <w:p>
      <w:pPr>
        <w:ind w:left="4920"/>
        <w:spacing w:after="0"/>
        <w:rPr>
          <w:sz w:val="20"/>
          <w:szCs w:val="20"/>
          <w:color w:val="auto"/>
        </w:rPr>
      </w:pPr>
      <w:r>
        <w:rPr>
          <w:rFonts w:ascii="Arial" w:cs="Arial" w:eastAsia="Arial" w:hAnsi="Arial"/>
          <w:sz w:val="16"/>
          <w:szCs w:val="16"/>
          <w:b w:val="1"/>
          <w:bCs w:val="1"/>
          <w:color w:val="auto"/>
        </w:rPr>
        <w:t>LIVEPERSON, INC.</w:t>
      </w:r>
    </w:p>
    <w:p>
      <w:pPr>
        <w:spacing w:after="0" w:line="96"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DATA)</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653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340" cy="762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4"/>
            <w:vMerge w:val="restart"/>
          </w:tcPr>
          <w:p>
            <w:pPr>
              <w:ind w:left="180"/>
              <w:spacing w:after="0"/>
              <w:rPr>
                <w:sz w:val="20"/>
                <w:szCs w:val="20"/>
                <w:color w:val="auto"/>
              </w:rPr>
            </w:pPr>
            <w:r>
              <w:rPr>
                <w:rFonts w:ascii="Arial" w:cs="Arial" w:eastAsia="Arial" w:hAnsi="Arial"/>
                <w:sz w:val="11"/>
                <w:szCs w:val="11"/>
                <w:b w:val="1"/>
                <w:bCs w:val="1"/>
                <w:color w:val="auto"/>
              </w:rPr>
              <w:t>Common Stock</w:t>
            </w:r>
          </w:p>
        </w:tc>
        <w:tc>
          <w:tcPr>
            <w:tcW w:w="108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center"/>
              <w:ind w:right="80"/>
              <w:spacing w:after="0" w:line="124" w:lineRule="exact"/>
              <w:rPr>
                <w:sz w:val="20"/>
                <w:szCs w:val="20"/>
                <w:color w:val="auto"/>
              </w:rPr>
            </w:pPr>
            <w:r>
              <w:rPr>
                <w:rFonts w:ascii="Arial" w:cs="Arial" w:eastAsia="Arial" w:hAnsi="Arial"/>
                <w:sz w:val="11"/>
                <w:szCs w:val="11"/>
                <w:b w:val="1"/>
                <w:bCs w:val="1"/>
                <w:color w:val="auto"/>
                <w:w w:val="89"/>
              </w:rPr>
              <w:t>Accumulated</w:t>
            </w:r>
          </w:p>
        </w:tc>
        <w:tc>
          <w:tcPr>
            <w:tcW w:w="520" w:type="dxa"/>
            <w:vAlign w:val="bottom"/>
          </w:tcPr>
          <w:p>
            <w:pPr>
              <w:spacing w:after="0"/>
              <w:rPr>
                <w:sz w:val="10"/>
                <w:szCs w:val="10"/>
                <w:color w:val="auto"/>
              </w:rPr>
            </w:pPr>
          </w:p>
        </w:tc>
        <w:tc>
          <w:tcPr>
            <w:tcW w:w="1200" w:type="dxa"/>
            <w:vAlign w:val="bottom"/>
            <w:gridSpan w:val="4"/>
            <w:vMerge w:val="restart"/>
          </w:tcPr>
          <w:p>
            <w:pPr>
              <w:ind w:left="260"/>
              <w:spacing w:after="0"/>
              <w:rPr>
                <w:sz w:val="20"/>
                <w:szCs w:val="20"/>
                <w:color w:val="auto"/>
              </w:rPr>
            </w:pPr>
            <w:r>
              <w:rPr>
                <w:rFonts w:ascii="Arial" w:cs="Arial" w:eastAsia="Arial" w:hAnsi="Arial"/>
                <w:sz w:val="11"/>
                <w:szCs w:val="11"/>
                <w:b w:val="1"/>
                <w:bCs w:val="1"/>
                <w:color w:val="auto"/>
              </w:rPr>
              <w:t>Common Stock</w:t>
            </w:r>
          </w:p>
        </w:tc>
        <w:tc>
          <w:tcPr>
            <w:tcW w:w="110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4" w:lineRule="exact"/>
              <w:rPr>
                <w:sz w:val="20"/>
                <w:szCs w:val="20"/>
                <w:color w:val="auto"/>
              </w:rPr>
            </w:pPr>
            <w:r>
              <w:rPr>
                <w:rFonts w:ascii="Arial" w:cs="Arial" w:eastAsia="Arial" w:hAnsi="Arial"/>
                <w:sz w:val="11"/>
                <w:szCs w:val="11"/>
                <w:b w:val="1"/>
                <w:bCs w:val="1"/>
                <w:color w:val="auto"/>
                <w:w w:val="89"/>
              </w:rPr>
              <w:t>Accumulated</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2"/>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5"/>
              </w:rPr>
              <w:t>Other</w:t>
            </w:r>
          </w:p>
        </w:tc>
        <w:tc>
          <w:tcPr>
            <w:tcW w:w="520" w:type="dxa"/>
            <w:vAlign w:val="bottom"/>
          </w:tcPr>
          <w:p>
            <w:pPr>
              <w:spacing w:after="0"/>
              <w:rPr>
                <w:sz w:val="10"/>
                <w:szCs w:val="10"/>
                <w:color w:val="auto"/>
              </w:rPr>
            </w:pPr>
          </w:p>
        </w:tc>
        <w:tc>
          <w:tcPr>
            <w:tcW w:w="1200" w:type="dxa"/>
            <w:vAlign w:val="bottom"/>
            <w:gridSpan w:val="4"/>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2"/>
              </w:rPr>
              <w:t>Additional</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95"/>
              </w:rPr>
              <w:t>Other</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120"/>
              <w:spacing w:after="0" w:line="93" w:lineRule="exact"/>
              <w:rPr>
                <w:sz w:val="20"/>
                <w:szCs w:val="20"/>
                <w:color w:val="auto"/>
              </w:rPr>
            </w:pPr>
            <w:r>
              <w:rPr>
                <w:rFonts w:ascii="Arial" w:cs="Arial" w:eastAsia="Arial" w:hAnsi="Arial"/>
                <w:sz w:val="10"/>
                <w:szCs w:val="10"/>
                <w:b w:val="1"/>
                <w:bCs w:val="1"/>
                <w:color w:val="auto"/>
              </w:rPr>
              <w:t>Paid-in</w:t>
            </w:r>
          </w:p>
        </w:tc>
        <w:tc>
          <w:tcPr>
            <w:tcW w:w="740" w:type="dxa"/>
            <w:vAlign w:val="bottom"/>
            <w:gridSpan w:val="2"/>
          </w:tcPr>
          <w:p>
            <w:pPr>
              <w:ind w:left="20"/>
              <w:spacing w:after="0" w:line="93"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3"/>
          </w:tcPr>
          <w:p>
            <w:pPr>
              <w:jc w:val="center"/>
              <w:ind w:right="80"/>
              <w:spacing w:after="0" w:line="93" w:lineRule="exact"/>
              <w:rPr>
                <w:sz w:val="20"/>
                <w:szCs w:val="20"/>
                <w:color w:val="auto"/>
              </w:rPr>
            </w:pPr>
            <w:r>
              <w:rPr>
                <w:rFonts w:ascii="Arial" w:cs="Arial" w:eastAsia="Arial" w:hAnsi="Arial"/>
                <w:sz w:val="10"/>
                <w:szCs w:val="10"/>
                <w:b w:val="1"/>
                <w:bCs w:val="1"/>
                <w:color w:val="auto"/>
                <w:w w:val="98"/>
              </w:rPr>
              <w:t>Comprehensive</w:t>
            </w:r>
          </w:p>
        </w:tc>
        <w:tc>
          <w:tcPr>
            <w:tcW w:w="5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100"/>
              <w:spacing w:after="0" w:line="93" w:lineRule="exact"/>
              <w:rPr>
                <w:sz w:val="20"/>
                <w:szCs w:val="20"/>
                <w:color w:val="auto"/>
              </w:rPr>
            </w:pPr>
            <w:r>
              <w:rPr>
                <w:rFonts w:ascii="Arial" w:cs="Arial" w:eastAsia="Arial" w:hAnsi="Arial"/>
                <w:sz w:val="10"/>
                <w:szCs w:val="10"/>
                <w:b w:val="1"/>
                <w:bCs w:val="1"/>
                <w:color w:val="auto"/>
              </w:rPr>
              <w:t>Paid-in</w:t>
            </w:r>
          </w:p>
        </w:tc>
        <w:tc>
          <w:tcPr>
            <w:tcW w:w="740" w:type="dxa"/>
            <w:vAlign w:val="bottom"/>
            <w:gridSpan w:val="2"/>
          </w:tcPr>
          <w:p>
            <w:pPr>
              <w:ind w:left="20"/>
              <w:spacing w:after="0" w:line="93"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3"/>
          </w:tcPr>
          <w:p>
            <w:pPr>
              <w:jc w:val="center"/>
              <w:ind w:right="100"/>
              <w:spacing w:after="0" w:line="93" w:lineRule="exact"/>
              <w:rPr>
                <w:sz w:val="20"/>
                <w:szCs w:val="20"/>
                <w:color w:val="auto"/>
              </w:rPr>
            </w:pPr>
            <w:r>
              <w:rPr>
                <w:rFonts w:ascii="Arial" w:cs="Arial" w:eastAsia="Arial" w:hAnsi="Arial"/>
                <w:sz w:val="10"/>
                <w:szCs w:val="10"/>
                <w:b w:val="1"/>
                <w:bCs w:val="1"/>
                <w:color w:val="auto"/>
                <w:w w:val="95"/>
              </w:rPr>
              <w:t>Comprehensive</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1"/>
              </w:rPr>
              <w:t>Shares</w:t>
            </w: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Capital</w:t>
            </w: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Loss</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Total</w:t>
            </w:r>
          </w:p>
        </w:tc>
        <w:tc>
          <w:tcPr>
            <w:tcW w:w="7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7"/>
              </w:rPr>
              <w:t>Shares</w:t>
            </w: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1"/>
              </w:rPr>
              <w:t>Shares</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Capital</w:t>
            </w: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Loss</w:t>
            </w: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6"/>
        </w:trPr>
        <w:tc>
          <w:tcPr>
            <w:tcW w:w="1000" w:type="dxa"/>
            <w:vAlign w:val="bottom"/>
            <w:tcBorders>
              <w:top w:val="single" w:sz="8" w:color="CCFFCC"/>
            </w:tcBorders>
            <w:gridSpan w:val="2"/>
            <w:shd w:val="clear" w:color="auto" w:fill="CCFFCC"/>
          </w:tcPr>
          <w:p>
            <w:pPr>
              <w:ind w:left="20"/>
              <w:spacing w:after="0" w:line="116" w:lineRule="exact"/>
              <w:rPr>
                <w:sz w:val="20"/>
                <w:szCs w:val="20"/>
                <w:color w:val="auto"/>
              </w:rPr>
            </w:pPr>
            <w:r>
              <w:rPr>
                <w:rFonts w:ascii="Arial" w:cs="Arial" w:eastAsia="Arial" w:hAnsi="Arial"/>
                <w:sz w:val="11"/>
                <w:szCs w:val="11"/>
                <w:color w:val="auto"/>
              </w:rPr>
              <w:t>Balance at March</w:t>
            </w:r>
          </w:p>
        </w:tc>
        <w:tc>
          <w:tcPr>
            <w:tcW w:w="5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20" w:type="dxa"/>
            <w:vAlign w:val="bottom"/>
            <w:shd w:val="clear" w:color="auto" w:fill="CCFFCC"/>
          </w:tcPr>
          <w:p>
            <w:pPr>
              <w:ind w:left="20"/>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w w:val="90"/>
              </w:rPr>
              <w:t>68,000,209</w:t>
            </w:r>
          </w:p>
        </w:tc>
        <w:tc>
          <w:tcPr>
            <w:tcW w:w="420" w:type="dxa"/>
            <w:vAlign w:val="bottom"/>
            <w:shd w:val="clear" w:color="auto" w:fill="CCFFCC"/>
          </w:tcPr>
          <w:p>
            <w:pPr>
              <w:ind w:left="20"/>
              <w:spacing w:after="0"/>
              <w:rPr>
                <w:sz w:val="20"/>
                <w:szCs w:val="20"/>
                <w:color w:val="auto"/>
              </w:rPr>
            </w:pPr>
            <w:r>
              <w:rPr>
                <w:rFonts w:ascii="Arial" w:cs="Arial" w:eastAsia="Arial" w:hAnsi="Arial"/>
                <w:sz w:val="11"/>
                <w:szCs w:val="11"/>
                <w:color w:val="auto"/>
              </w:rPr>
              <w:t>$   68</w:t>
            </w:r>
          </w:p>
        </w:tc>
        <w:tc>
          <w:tcPr>
            <w:tcW w:w="100" w:type="dxa"/>
            <w:vAlign w:val="bottom"/>
            <w:shd w:val="clear" w:color="auto" w:fill="CCFFCC"/>
          </w:tcPr>
          <w:p>
            <w:pPr>
              <w:spacing w:after="0"/>
              <w:rPr>
                <w:sz w:val="13"/>
                <w:szCs w:val="13"/>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w w:val="88"/>
              </w:rPr>
              <w:t>(2,709,830)</w:t>
            </w:r>
          </w:p>
        </w:tc>
        <w:tc>
          <w:tcPr>
            <w:tcW w:w="100" w:type="dxa"/>
            <w:vAlign w:val="bottom"/>
            <w:shd w:val="clear" w:color="auto" w:fill="CCFFCC"/>
          </w:tcPr>
          <w:p>
            <w:pPr>
              <w:spacing w:after="0"/>
              <w:rPr>
                <w:sz w:val="13"/>
                <w:szCs w:val="13"/>
                <w:color w:val="auto"/>
              </w:rPr>
            </w:pPr>
          </w:p>
        </w:tc>
        <w:tc>
          <w:tcPr>
            <w:tcW w:w="420" w:type="dxa"/>
            <w:vAlign w:val="bottom"/>
            <w:shd w:val="clear" w:color="auto" w:fill="CCFFCC"/>
          </w:tcPr>
          <w:p>
            <w:pPr>
              <w:ind w:left="20"/>
              <w:spacing w:after="0"/>
              <w:rPr>
                <w:sz w:val="20"/>
                <w:szCs w:val="20"/>
                <w:color w:val="auto"/>
              </w:rPr>
            </w:pPr>
            <w:r>
              <w:rPr>
                <w:rFonts w:ascii="Arial" w:cs="Arial" w:eastAsia="Arial" w:hAnsi="Arial"/>
                <w:sz w:val="11"/>
                <w:szCs w:val="11"/>
                <w:color w:val="auto"/>
              </w:rPr>
              <w:t>$   (3)</w:t>
            </w:r>
          </w:p>
        </w:tc>
        <w:tc>
          <w:tcPr>
            <w:tcW w:w="660" w:type="dxa"/>
            <w:vAlign w:val="bottom"/>
            <w:gridSpan w:val="2"/>
            <w:shd w:val="clear" w:color="auto" w:fill="CCFFCC"/>
          </w:tcPr>
          <w:p>
            <w:pPr>
              <w:jc w:val="right"/>
              <w:ind w:right="47"/>
              <w:spacing w:after="0"/>
              <w:rPr>
                <w:sz w:val="20"/>
                <w:szCs w:val="20"/>
                <w:color w:val="auto"/>
              </w:rPr>
            </w:pPr>
            <w:r>
              <w:rPr>
                <w:rFonts w:ascii="Arial" w:cs="Arial" w:eastAsia="Arial" w:hAnsi="Arial"/>
                <w:sz w:val="11"/>
                <w:szCs w:val="11"/>
                <w:color w:val="auto"/>
              </w:rPr>
              <w:t>$ 474,606</w:t>
            </w:r>
          </w:p>
        </w:tc>
        <w:tc>
          <w:tcPr>
            <w:tcW w:w="100" w:type="dxa"/>
            <w:vAlign w:val="bottom"/>
            <w:shd w:val="clear" w:color="auto" w:fill="CCFFCC"/>
          </w:tcPr>
          <w:p>
            <w:pPr>
              <w:spacing w:after="0"/>
              <w:rPr>
                <w:sz w:val="13"/>
                <w:szCs w:val="13"/>
                <w:color w:val="auto"/>
              </w:rPr>
            </w:pPr>
          </w:p>
        </w:tc>
        <w:tc>
          <w:tcPr>
            <w:tcW w:w="660" w:type="dxa"/>
            <w:vAlign w:val="bottom"/>
            <w:shd w:val="clear" w:color="auto" w:fill="CCFFCC"/>
          </w:tcPr>
          <w:p>
            <w:pPr>
              <w:ind w:left="20"/>
              <w:spacing w:after="0"/>
              <w:rPr>
                <w:sz w:val="20"/>
                <w:szCs w:val="20"/>
                <w:color w:val="auto"/>
              </w:rPr>
            </w:pPr>
            <w:r>
              <w:rPr>
                <w:rFonts w:ascii="Arial" w:cs="Arial" w:eastAsia="Arial" w:hAnsi="Arial"/>
                <w:sz w:val="11"/>
                <w:szCs w:val="11"/>
                <w:color w:val="auto"/>
              </w:rPr>
              <w:t>$  (321,292)</w:t>
            </w:r>
          </w:p>
        </w:tc>
        <w:tc>
          <w:tcPr>
            <w:tcW w:w="80" w:type="dxa"/>
            <w:vAlign w:val="bottom"/>
            <w:shd w:val="clear" w:color="auto" w:fill="CCFFCC"/>
          </w:tcPr>
          <w:p>
            <w:pPr>
              <w:spacing w:after="0"/>
              <w:rPr>
                <w:sz w:val="13"/>
                <w:szCs w:val="13"/>
                <w:color w:val="auto"/>
              </w:rPr>
            </w:pPr>
          </w:p>
        </w:tc>
        <w:tc>
          <w:tcPr>
            <w:tcW w:w="160" w:type="dxa"/>
            <w:vAlign w:val="bottom"/>
            <w:shd w:val="clear" w:color="auto" w:fill="CCFFCC"/>
          </w:tcPr>
          <w:p>
            <w:pPr>
              <w:jc w:val="right"/>
              <w:ind w:right="27"/>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(6,993)</w:t>
            </w:r>
          </w:p>
        </w:tc>
        <w:tc>
          <w:tcPr>
            <w:tcW w:w="100" w:type="dxa"/>
            <w:vAlign w:val="bottom"/>
            <w:shd w:val="clear" w:color="auto" w:fill="CCFFCC"/>
          </w:tcPr>
          <w:p>
            <w:pPr>
              <w:spacing w:after="0"/>
              <w:rPr>
                <w:sz w:val="13"/>
                <w:szCs w:val="13"/>
                <w:color w:val="auto"/>
              </w:rPr>
            </w:pPr>
          </w:p>
        </w:tc>
        <w:tc>
          <w:tcPr>
            <w:tcW w:w="52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w w:val="91"/>
              </w:rPr>
              <w:t>$146,386</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64,747,798</w:t>
            </w:r>
          </w:p>
        </w:tc>
        <w:tc>
          <w:tcPr>
            <w:tcW w:w="420" w:type="dxa"/>
            <w:vAlign w:val="bottom"/>
            <w:shd w:val="clear" w:color="auto" w:fill="CCFFCC"/>
          </w:tcPr>
          <w:p>
            <w:pPr>
              <w:ind w:left="20"/>
              <w:spacing w:after="0"/>
              <w:rPr>
                <w:sz w:val="20"/>
                <w:szCs w:val="20"/>
                <w:color w:val="auto"/>
              </w:rPr>
            </w:pPr>
            <w:r>
              <w:rPr>
                <w:rFonts w:ascii="Arial" w:cs="Arial" w:eastAsia="Arial" w:hAnsi="Arial"/>
                <w:sz w:val="11"/>
                <w:szCs w:val="11"/>
                <w:color w:val="auto"/>
              </w:rPr>
              <w:t>$   65</w:t>
            </w:r>
          </w:p>
        </w:tc>
        <w:tc>
          <w:tcPr>
            <w:tcW w:w="80" w:type="dxa"/>
            <w:vAlign w:val="bottom"/>
            <w:shd w:val="clear" w:color="auto" w:fill="CCFFCC"/>
          </w:tcPr>
          <w:p>
            <w:pPr>
              <w:spacing w:after="0"/>
              <w:rPr>
                <w:sz w:val="13"/>
                <w:szCs w:val="13"/>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2"/>
              </w:rPr>
              <w:t>(2,704,706)</w:t>
            </w:r>
          </w:p>
        </w:tc>
        <w:tc>
          <w:tcPr>
            <w:tcW w:w="100" w:type="dxa"/>
            <w:vAlign w:val="bottom"/>
            <w:shd w:val="clear" w:color="auto" w:fill="CCFFCC"/>
          </w:tcPr>
          <w:p>
            <w:pPr>
              <w:spacing w:after="0"/>
              <w:rPr>
                <w:sz w:val="13"/>
                <w:szCs w:val="13"/>
                <w:color w:val="auto"/>
              </w:rPr>
            </w:pPr>
          </w:p>
        </w:tc>
        <w:tc>
          <w:tcPr>
            <w:tcW w:w="420" w:type="dxa"/>
            <w:vAlign w:val="bottom"/>
            <w:shd w:val="clear" w:color="auto" w:fill="CCFFCC"/>
          </w:tcPr>
          <w:p>
            <w:pPr>
              <w:ind w:left="20"/>
              <w:spacing w:after="0"/>
              <w:rPr>
                <w:sz w:val="20"/>
                <w:szCs w:val="20"/>
                <w:color w:val="auto"/>
              </w:rPr>
            </w:pPr>
            <w:r>
              <w:rPr>
                <w:rFonts w:ascii="Arial" w:cs="Arial" w:eastAsia="Arial" w:hAnsi="Arial"/>
                <w:sz w:val="11"/>
                <w:szCs w:val="11"/>
                <w:color w:val="auto"/>
              </w:rPr>
              <w:t>$   (3)</w:t>
            </w:r>
          </w:p>
        </w:tc>
        <w:tc>
          <w:tcPr>
            <w:tcW w:w="660" w:type="dxa"/>
            <w:vAlign w:val="bottom"/>
            <w:gridSpan w:val="2"/>
            <w:shd w:val="clear" w:color="auto" w:fill="CCFFCC"/>
          </w:tcPr>
          <w:p>
            <w:pPr>
              <w:jc w:val="right"/>
              <w:ind w:right="47"/>
              <w:spacing w:after="0"/>
              <w:rPr>
                <w:sz w:val="20"/>
                <w:szCs w:val="20"/>
                <w:color w:val="auto"/>
              </w:rPr>
            </w:pPr>
            <w:r>
              <w:rPr>
                <w:rFonts w:ascii="Arial" w:cs="Arial" w:eastAsia="Arial" w:hAnsi="Arial"/>
                <w:sz w:val="11"/>
                <w:szCs w:val="11"/>
                <w:color w:val="auto"/>
              </w:rPr>
              <w:t>$ 401,996</w:t>
            </w:r>
          </w:p>
        </w:tc>
        <w:tc>
          <w:tcPr>
            <w:tcW w:w="100" w:type="dxa"/>
            <w:vAlign w:val="bottom"/>
            <w:shd w:val="clear" w:color="auto" w:fill="CCFFCC"/>
          </w:tcPr>
          <w:p>
            <w:pPr>
              <w:spacing w:after="0"/>
              <w:rPr>
                <w:sz w:val="13"/>
                <w:szCs w:val="13"/>
                <w:color w:val="auto"/>
              </w:rPr>
            </w:pPr>
          </w:p>
        </w:tc>
        <w:tc>
          <w:tcPr>
            <w:tcW w:w="640" w:type="dxa"/>
            <w:vAlign w:val="bottom"/>
            <w:shd w:val="clear" w:color="auto" w:fill="CCFFCC"/>
          </w:tcPr>
          <w:p>
            <w:pPr>
              <w:ind w:left="20"/>
              <w:spacing w:after="0"/>
              <w:rPr>
                <w:sz w:val="20"/>
                <w:szCs w:val="20"/>
                <w:color w:val="auto"/>
              </w:rPr>
            </w:pPr>
            <w:r>
              <w:rPr>
                <w:rFonts w:ascii="Arial" w:cs="Arial" w:eastAsia="Arial" w:hAnsi="Arial"/>
                <w:sz w:val="11"/>
                <w:szCs w:val="11"/>
                <w:color w:val="auto"/>
              </w:rPr>
              <w:t>$  (206,381)</w:t>
            </w:r>
          </w:p>
        </w:tc>
        <w:tc>
          <w:tcPr>
            <w:tcW w:w="100" w:type="dxa"/>
            <w:vAlign w:val="bottom"/>
            <w:shd w:val="clear" w:color="auto" w:fill="CCFFCC"/>
          </w:tcPr>
          <w:p>
            <w:pPr>
              <w:spacing w:after="0"/>
              <w:rPr>
                <w:sz w:val="13"/>
                <w:szCs w:val="13"/>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(4,638)</w:t>
            </w:r>
          </w:p>
        </w:tc>
        <w:tc>
          <w:tcPr>
            <w:tcW w:w="80" w:type="dxa"/>
            <w:vAlign w:val="bottom"/>
            <w:shd w:val="clear" w:color="auto" w:fill="CCFFCC"/>
          </w:tcPr>
          <w:p>
            <w:pPr>
              <w:spacing w:after="0"/>
              <w:rPr>
                <w:sz w:val="13"/>
                <w:szCs w:val="13"/>
                <w:color w:val="auto"/>
              </w:rPr>
            </w:pPr>
          </w:p>
        </w:tc>
        <w:tc>
          <w:tcPr>
            <w:tcW w:w="52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w w:val="91"/>
              </w:rPr>
              <w:t>$191,039</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80"/>
          </w:cols>
          <w:pgMar w:left="320" w:top="497" w:right="299" w:bottom="1440" w:gutter="0" w:footer="0" w:header="0"/>
        </w:sectPr>
      </w:pPr>
    </w:p>
    <w:tbl>
      <w:tblPr>
        <w:tblLayout w:type="fixed"/>
        <w:tblInd w:w="20" w:type="dxa"/>
        <w:tblCellMar>
          <w:top w:w="0" w:type="dxa"/>
          <w:left w:w="0" w:type="dxa"/>
          <w:bottom w:w="0" w:type="dxa"/>
          <w:right w:w="0" w:type="dxa"/>
        </w:tblCellMar>
      </w:tblPr>
      <w:tr>
        <w:trPr>
          <w:trHeight w:val="126"/>
        </w:trPr>
        <w:tc>
          <w:tcPr>
            <w:tcW w:w="980" w:type="dxa"/>
            <w:vAlign w:val="bottom"/>
          </w:tcPr>
          <w:p>
            <w:pPr>
              <w:ind w:left="200"/>
              <w:spacing w:after="0"/>
              <w:rPr>
                <w:sz w:val="20"/>
                <w:szCs w:val="20"/>
                <w:color w:val="auto"/>
              </w:rPr>
            </w:pPr>
            <w:r>
              <w:rPr>
                <w:rFonts w:ascii="Arial" w:cs="Arial" w:eastAsia="Arial" w:hAnsi="Arial"/>
                <w:sz w:val="11"/>
                <w:szCs w:val="11"/>
                <w:color w:val="auto"/>
              </w:rPr>
              <w:t>Common stock</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tcPr>
          <w:p>
            <w:pPr>
              <w:ind w:left="200"/>
              <w:spacing w:after="0" w:line="117" w:lineRule="exact"/>
              <w:rPr>
                <w:sz w:val="20"/>
                <w:szCs w:val="20"/>
                <w:color w:val="auto"/>
              </w:rPr>
            </w:pPr>
            <w:r>
              <w:rPr>
                <w:rFonts w:ascii="Arial" w:cs="Arial" w:eastAsia="Arial" w:hAnsi="Arial"/>
                <w:sz w:val="11"/>
                <w:szCs w:val="11"/>
                <w:color w:val="auto"/>
              </w:rPr>
              <w:t>issued upon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tcPr>
          <w:p>
            <w:pPr>
              <w:ind w:left="200"/>
              <w:spacing w:after="0" w:line="117" w:lineRule="exact"/>
              <w:rPr>
                <w:sz w:val="20"/>
                <w:szCs w:val="20"/>
                <w:color w:val="auto"/>
              </w:rPr>
            </w:pPr>
            <w:r>
              <w:rPr>
                <w:rFonts w:ascii="Arial" w:cs="Arial" w:eastAsia="Arial" w:hAnsi="Arial"/>
                <w:sz w:val="11"/>
                <w:szCs w:val="11"/>
                <w:color w:val="auto"/>
              </w:rPr>
              <w:t>exercise of</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80" w:type="dxa"/>
            <w:vAlign w:val="bottom"/>
          </w:tcPr>
          <w:p>
            <w:pPr>
              <w:ind w:left="200"/>
              <w:spacing w:after="0"/>
              <w:rPr>
                <w:sz w:val="20"/>
                <w:szCs w:val="20"/>
                <w:color w:val="auto"/>
              </w:rPr>
            </w:pPr>
            <w:r>
              <w:rPr>
                <w:rFonts w:ascii="Arial" w:cs="Arial" w:eastAsia="Arial" w:hAnsi="Arial"/>
                <w:sz w:val="11"/>
                <w:szCs w:val="11"/>
                <w:color w:val="auto"/>
              </w:rPr>
              <w:t>stock options</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403,443</w:t>
            </w:r>
          </w:p>
        </w:tc>
        <w:tc>
          <w:tcPr>
            <w:tcW w:w="14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5,079</w:t>
            </w:r>
          </w:p>
        </w:tc>
        <w:tc>
          <w:tcPr>
            <w:tcW w:w="10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980" w:type="dxa"/>
            <w:vAlign w:val="bottom"/>
          </w:tcPr>
          <w:p>
            <w:pPr>
              <w:ind w:left="200"/>
              <w:spacing w:after="0"/>
              <w:rPr>
                <w:sz w:val="20"/>
                <w:szCs w:val="20"/>
                <w:color w:val="auto"/>
              </w:rPr>
            </w:pPr>
            <w:r>
              <w:rPr>
                <w:rFonts w:ascii="Arial" w:cs="Arial" w:eastAsia="Arial" w:hAnsi="Arial"/>
                <w:sz w:val="11"/>
                <w:szCs w:val="1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80" w:type="dxa"/>
            <w:vAlign w:val="bottom"/>
          </w:tcPr>
          <w:p>
            <w:pPr>
              <w:ind w:left="200"/>
              <w:spacing w:after="0" w:line="117" w:lineRule="exact"/>
              <w:rPr>
                <w:sz w:val="20"/>
                <w:szCs w:val="20"/>
                <w:color w:val="auto"/>
              </w:rPr>
            </w:pPr>
            <w:r>
              <w:rPr>
                <w:rFonts w:ascii="Arial" w:cs="Arial" w:eastAsia="Arial" w:hAnsi="Arial"/>
                <w:sz w:val="11"/>
                <w:szCs w:val="11"/>
                <w:color w:val="auto"/>
              </w:rPr>
              <w:t>issued upon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tcPr>
          <w:p>
            <w:pPr>
              <w:ind w:left="200"/>
              <w:spacing w:after="0" w:line="117" w:lineRule="exact"/>
              <w:rPr>
                <w:sz w:val="20"/>
                <w:szCs w:val="20"/>
                <w:color w:val="auto"/>
              </w:rPr>
            </w:pPr>
            <w:r>
              <w:rPr>
                <w:rFonts w:ascii="Arial" w:cs="Arial" w:eastAsia="Arial" w:hAnsi="Arial"/>
                <w:sz w:val="11"/>
                <w:szCs w:val="11"/>
                <w:color w:val="auto"/>
              </w:rPr>
              <w:t>vesting of</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tcPr>
          <w:p>
            <w:pPr>
              <w:ind w:left="200"/>
              <w:spacing w:after="0" w:line="117" w:lineRule="exact"/>
              <w:rPr>
                <w:sz w:val="20"/>
                <w:szCs w:val="20"/>
                <w:color w:val="auto"/>
              </w:rPr>
            </w:pPr>
            <w:r>
              <w:rPr>
                <w:rFonts w:ascii="Arial" w:cs="Arial" w:eastAsia="Arial" w:hAnsi="Arial"/>
                <w:sz w:val="11"/>
                <w:szCs w:val="11"/>
                <w:color w:val="auto"/>
              </w:rPr>
              <w:t>restricted stock</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80" w:type="dxa"/>
            <w:vAlign w:val="bottom"/>
          </w:tcPr>
          <w:p>
            <w:pPr>
              <w:ind w:left="200"/>
              <w:spacing w:after="0"/>
              <w:rPr>
                <w:sz w:val="20"/>
                <w:szCs w:val="20"/>
                <w:color w:val="auto"/>
              </w:rPr>
            </w:pPr>
            <w:r>
              <w:rPr>
                <w:rFonts w:ascii="Arial" w:cs="Arial" w:eastAsia="Arial" w:hAnsi="Arial"/>
                <w:sz w:val="11"/>
                <w:szCs w:val="11"/>
                <w:color w:val="auto"/>
              </w:rPr>
              <w:t>units</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298,114</w:t>
            </w:r>
          </w:p>
        </w:tc>
        <w:tc>
          <w:tcPr>
            <w:tcW w:w="140" w:type="dxa"/>
            <w:vAlign w:val="bottom"/>
          </w:tcPr>
          <w:p>
            <w:pPr>
              <w:spacing w:after="0"/>
              <w:rPr>
                <w:sz w:val="11"/>
                <w:szCs w:val="11"/>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980" w:type="dxa"/>
            <w:vAlign w:val="bottom"/>
          </w:tcPr>
          <w:p>
            <w:pPr>
              <w:ind w:left="200"/>
              <w:spacing w:after="0"/>
              <w:rPr>
                <w:sz w:val="20"/>
                <w:szCs w:val="20"/>
                <w:color w:val="auto"/>
              </w:rPr>
            </w:pPr>
            <w:r>
              <w:rPr>
                <w:rFonts w:ascii="Arial" w:cs="Arial" w:eastAsia="Arial" w:hAnsi="Arial"/>
                <w:sz w:val="11"/>
                <w:szCs w:val="11"/>
                <w:color w:val="auto"/>
              </w:rPr>
              <w:t>Stock-based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80" w:type="dxa"/>
            <w:vAlign w:val="bottom"/>
          </w:tcPr>
          <w:p>
            <w:pPr>
              <w:ind w:left="200"/>
              <w:spacing w:after="0"/>
              <w:rPr>
                <w:sz w:val="20"/>
                <w:szCs w:val="20"/>
                <w:color w:val="auto"/>
              </w:rPr>
            </w:pPr>
            <w:r>
              <w:rPr>
                <w:rFonts w:ascii="Arial" w:cs="Arial" w:eastAsia="Arial" w:hAnsi="Arial"/>
                <w:sz w:val="11"/>
                <w:szCs w:val="11"/>
                <w:color w:val="auto"/>
              </w:rPr>
              <w:t>compensation</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7,433</w:t>
            </w:r>
          </w:p>
        </w:tc>
        <w:tc>
          <w:tcPr>
            <w:tcW w:w="10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980" w:type="dxa"/>
            <w:vAlign w:val="bottom"/>
          </w:tcPr>
          <w:p>
            <w:pPr>
              <w:ind w:left="200"/>
              <w:spacing w:after="0"/>
              <w:rPr>
                <w:sz w:val="20"/>
                <w:szCs w:val="20"/>
                <w:color w:val="auto"/>
              </w:rPr>
            </w:pPr>
            <w:r>
              <w:rPr>
                <w:rFonts w:ascii="Arial" w:cs="Arial" w:eastAsia="Arial" w:hAnsi="Arial"/>
                <w:sz w:val="11"/>
                <w:szCs w:val="1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80" w:type="dxa"/>
            <w:vAlign w:val="bottom"/>
          </w:tcPr>
          <w:p>
            <w:pPr>
              <w:ind w:left="200"/>
              <w:spacing w:after="0" w:line="117" w:lineRule="exact"/>
              <w:rPr>
                <w:sz w:val="20"/>
                <w:szCs w:val="20"/>
                <w:color w:val="auto"/>
              </w:rPr>
            </w:pPr>
            <w:r>
              <w:rPr>
                <w:rFonts w:ascii="Arial" w:cs="Arial" w:eastAsia="Arial" w:hAnsi="Arial"/>
                <w:sz w:val="11"/>
                <w:szCs w:val="11"/>
                <w:color w:val="auto"/>
              </w:rPr>
              <w:t>issued under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tcPr>
          <w:p>
            <w:pPr>
              <w:ind w:left="200"/>
              <w:spacing w:after="0" w:line="117" w:lineRule="exact"/>
              <w:rPr>
                <w:sz w:val="20"/>
                <w:szCs w:val="20"/>
                <w:color w:val="auto"/>
              </w:rPr>
            </w:pPr>
            <w:r>
              <w:rPr>
                <w:rFonts w:ascii="Arial" w:cs="Arial" w:eastAsia="Arial" w:hAnsi="Arial"/>
                <w:sz w:val="11"/>
                <w:szCs w:val="11"/>
                <w:color w:val="auto"/>
              </w:rPr>
              <w:t>Employee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tcPr>
          <w:p>
            <w:pPr>
              <w:ind w:left="200"/>
              <w:spacing w:after="0" w:line="117" w:lineRule="exact"/>
              <w:rPr>
                <w:sz w:val="20"/>
                <w:szCs w:val="20"/>
                <w:color w:val="auto"/>
              </w:rPr>
            </w:pPr>
            <w:r>
              <w:rPr>
                <w:rFonts w:ascii="Arial" w:cs="Arial" w:eastAsia="Arial" w:hAnsi="Arial"/>
                <w:sz w:val="11"/>
                <w:szCs w:val="11"/>
                <w:color w:val="auto"/>
              </w:rPr>
              <w:t>Stock</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80" w:type="dxa"/>
            <w:vAlign w:val="bottom"/>
          </w:tcPr>
          <w:p>
            <w:pPr>
              <w:ind w:left="200"/>
              <w:spacing w:after="0"/>
              <w:rPr>
                <w:sz w:val="20"/>
                <w:szCs w:val="20"/>
                <w:color w:val="auto"/>
              </w:rPr>
            </w:pPr>
            <w:r>
              <w:rPr>
                <w:rFonts w:ascii="Arial" w:cs="Arial" w:eastAsia="Arial" w:hAnsi="Arial"/>
                <w:sz w:val="11"/>
                <w:szCs w:val="11"/>
                <w:color w:val="auto"/>
              </w:rPr>
              <w:t>Purchase Plan</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29,711</w:t>
            </w:r>
          </w:p>
        </w:tc>
        <w:tc>
          <w:tcPr>
            <w:tcW w:w="14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1,111</w:t>
            </w:r>
          </w:p>
        </w:tc>
        <w:tc>
          <w:tcPr>
            <w:tcW w:w="10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4"/>
        </w:trPr>
        <w:tc>
          <w:tcPr>
            <w:tcW w:w="980" w:type="dxa"/>
            <w:vAlign w:val="bottom"/>
          </w:tcPr>
          <w:p>
            <w:pPr>
              <w:ind w:left="200"/>
              <w:spacing w:after="0"/>
              <w:rPr>
                <w:sz w:val="20"/>
                <w:szCs w:val="20"/>
                <w:color w:val="auto"/>
              </w:rPr>
            </w:pPr>
            <w:r>
              <w:rPr>
                <w:rFonts w:ascii="Arial" w:cs="Arial" w:eastAsia="Arial" w:hAnsi="Arial"/>
                <w:sz w:val="11"/>
                <w:szCs w:val="11"/>
                <w:color w:val="auto"/>
              </w:rPr>
              <w:t>Net loss</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(18,627)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980" w:type="dxa"/>
            <w:vAlign w:val="bottom"/>
          </w:tcPr>
          <w:p>
            <w:pPr>
              <w:ind w:left="200"/>
              <w:spacing w:after="0"/>
              <w:rPr>
                <w:sz w:val="20"/>
                <w:szCs w:val="20"/>
                <w:color w:val="auto"/>
              </w:rPr>
            </w:pPr>
            <w:r>
              <w:rPr>
                <w:rFonts w:ascii="Arial" w:cs="Arial" w:eastAsia="Arial" w:hAnsi="Arial"/>
                <w:sz w:val="11"/>
                <w:szCs w:val="11"/>
                <w:color w:val="auto"/>
              </w:rPr>
              <w:t>Other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80" w:type="dxa"/>
            <w:vAlign w:val="bottom"/>
          </w:tcPr>
          <w:p>
            <w:pPr>
              <w:ind w:left="200"/>
              <w:spacing w:after="0" w:line="117" w:lineRule="exact"/>
              <w:rPr>
                <w:sz w:val="20"/>
                <w:szCs w:val="20"/>
                <w:color w:val="auto"/>
              </w:rPr>
            </w:pPr>
            <w:r>
              <w:rPr>
                <w:rFonts w:ascii="Arial" w:cs="Arial" w:eastAsia="Arial" w:hAnsi="Arial"/>
                <w:sz w:val="11"/>
                <w:szCs w:val="11"/>
                <w:color w:val="auto"/>
              </w:rPr>
              <w:t>comprehensive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80" w:type="dxa"/>
            <w:vAlign w:val="bottom"/>
          </w:tcPr>
          <w:p>
            <w:pPr>
              <w:ind w:left="200"/>
              <w:spacing w:after="0"/>
              <w:rPr>
                <w:sz w:val="20"/>
                <w:szCs w:val="20"/>
                <w:color w:val="auto"/>
              </w:rPr>
            </w:pPr>
            <w:r>
              <w:rPr>
                <w:rFonts w:ascii="Arial" w:cs="Arial" w:eastAsia="Arial" w:hAnsi="Arial"/>
                <w:sz w:val="11"/>
                <w:szCs w:val="11"/>
                <w:color w:val="auto"/>
              </w:rPr>
              <w:t>loss</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1,931</w:t>
            </w:r>
          </w:p>
        </w:tc>
        <w:tc>
          <w:tcPr>
            <w:tcW w:w="0" w:type="dxa"/>
            <w:vAlign w:val="bottom"/>
          </w:tcPr>
          <w:p>
            <w:pPr>
              <w:spacing w:after="0"/>
              <w:rPr>
                <w:sz w:val="1"/>
                <w:szCs w:val="1"/>
                <w:color w:val="auto"/>
              </w:rPr>
            </w:pPr>
          </w:p>
        </w:tc>
      </w:tr>
      <w:tr>
        <w:trPr>
          <w:trHeight w:val="26"/>
        </w:trPr>
        <w:tc>
          <w:tcPr>
            <w:tcW w:w="980" w:type="dxa"/>
            <w:vAlign w:val="bottom"/>
            <w:vMerge w:val="restart"/>
          </w:tcPr>
          <w:p>
            <w:pPr>
              <w:spacing w:after="0"/>
              <w:rPr>
                <w:sz w:val="20"/>
                <w:szCs w:val="20"/>
                <w:color w:val="auto"/>
              </w:rPr>
            </w:pPr>
            <w:r>
              <w:rPr>
                <w:rFonts w:ascii="Arial" w:cs="Arial" w:eastAsia="Arial" w:hAnsi="Arial"/>
                <w:sz w:val="11"/>
                <w:szCs w:val="11"/>
                <w:color w:val="auto"/>
                <w:w w:val="98"/>
              </w:rPr>
              <w:t>Balance at June 30,</w:t>
            </w: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80" w:type="dxa"/>
            <w:vAlign w:val="bottom"/>
            <w:vMerge w:val="continue"/>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w w:val="90"/>
              </w:rPr>
              <w:t>68,731,477</w:t>
            </w: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w w:val="88"/>
              </w:rPr>
              <w:t>(2,709,830)</w:t>
            </w:r>
          </w:p>
        </w:tc>
        <w:tc>
          <w:tcPr>
            <w:tcW w:w="100" w:type="dxa"/>
            <w:vAlign w:val="bottom"/>
          </w:tcPr>
          <w:p>
            <w:pPr>
              <w:spacing w:after="0"/>
              <w:rPr>
                <w:sz w:val="10"/>
                <w:szCs w:val="10"/>
                <w:color w:val="auto"/>
              </w:rPr>
            </w:pPr>
          </w:p>
        </w:tc>
        <w:tc>
          <w:tcPr>
            <w:tcW w:w="420" w:type="dxa"/>
            <w:vAlign w:val="bottom"/>
            <w:vMerge w:val="restart"/>
          </w:tcPr>
          <w:p>
            <w:pPr>
              <w:jc w:val="right"/>
              <w:ind w:right="26"/>
              <w:spacing w:after="0"/>
              <w:rPr>
                <w:sz w:val="20"/>
                <w:szCs w:val="20"/>
                <w:color w:val="auto"/>
              </w:rPr>
            </w:pPr>
            <w:r>
              <w:rPr>
                <w:rFonts w:ascii="Arial" w:cs="Arial" w:eastAsia="Arial" w:hAnsi="Arial"/>
                <w:sz w:val="11"/>
                <w:szCs w:val="11"/>
                <w:color w:val="auto"/>
              </w:rPr>
              <w:t>$   (3)</w:t>
            </w:r>
          </w:p>
        </w:tc>
        <w:tc>
          <w:tcPr>
            <w:tcW w:w="100" w:type="dxa"/>
            <w:vAlign w:val="bottom"/>
          </w:tcPr>
          <w:p>
            <w:pPr>
              <w:spacing w:after="0"/>
              <w:rPr>
                <w:sz w:val="10"/>
                <w:szCs w:val="10"/>
                <w:color w:val="auto"/>
              </w:rPr>
            </w:pPr>
          </w:p>
        </w:tc>
        <w:tc>
          <w:tcPr>
            <w:tcW w:w="560" w:type="dxa"/>
            <w:vAlign w:val="bottom"/>
            <w:vMerge w:val="restart"/>
          </w:tcPr>
          <w:p>
            <w:pPr>
              <w:jc w:val="right"/>
              <w:ind w:right="46"/>
              <w:spacing w:after="0"/>
              <w:rPr>
                <w:sz w:val="20"/>
                <w:szCs w:val="20"/>
                <w:color w:val="auto"/>
              </w:rPr>
            </w:pPr>
            <w:r>
              <w:rPr>
                <w:rFonts w:ascii="Arial" w:cs="Arial" w:eastAsia="Arial" w:hAnsi="Arial"/>
                <w:sz w:val="11"/>
                <w:szCs w:val="11"/>
                <w:color w:val="auto"/>
                <w:w w:val="89"/>
              </w:rPr>
              <w:t>$ 488,229</w:t>
            </w:r>
          </w:p>
        </w:tc>
        <w:tc>
          <w:tcPr>
            <w:tcW w:w="100" w:type="dxa"/>
            <w:vAlign w:val="bottom"/>
          </w:tcPr>
          <w:p>
            <w:pPr>
              <w:spacing w:after="0"/>
              <w:rPr>
                <w:sz w:val="10"/>
                <w:szCs w:val="10"/>
                <w:color w:val="auto"/>
              </w:rPr>
            </w:pPr>
          </w:p>
        </w:tc>
        <w:tc>
          <w:tcPr>
            <w:tcW w:w="660" w:type="dxa"/>
            <w:vAlign w:val="bottom"/>
            <w:vMerge w:val="restart"/>
          </w:tcPr>
          <w:p>
            <w:pPr>
              <w:jc w:val="right"/>
              <w:ind w:right="26"/>
              <w:spacing w:after="0"/>
              <w:rPr>
                <w:sz w:val="20"/>
                <w:szCs w:val="20"/>
                <w:color w:val="auto"/>
              </w:rPr>
            </w:pPr>
            <w:r>
              <w:rPr>
                <w:rFonts w:ascii="Arial" w:cs="Arial" w:eastAsia="Arial" w:hAnsi="Arial"/>
                <w:sz w:val="11"/>
                <w:szCs w:val="11"/>
                <w:color w:val="auto"/>
                <w:w w:val="94"/>
              </w:rPr>
              <w:t>$  (339,919)</w:t>
            </w:r>
          </w:p>
        </w:tc>
        <w:tc>
          <w:tcPr>
            <w:tcW w:w="80" w:type="dxa"/>
            <w:vAlign w:val="bottom"/>
          </w:tcPr>
          <w:p>
            <w:pPr>
              <w:spacing w:after="0"/>
              <w:rPr>
                <w:sz w:val="10"/>
                <w:szCs w:val="10"/>
                <w:color w:val="auto"/>
              </w:rPr>
            </w:pP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(5,062)</w:t>
            </w:r>
          </w:p>
        </w:tc>
        <w:tc>
          <w:tcPr>
            <w:tcW w:w="0" w:type="dxa"/>
            <w:vAlign w:val="bottom"/>
          </w:tcPr>
          <w:p>
            <w:pPr>
              <w:spacing w:after="0"/>
              <w:rPr>
                <w:sz w:val="1"/>
                <w:szCs w:val="1"/>
                <w:color w:val="auto"/>
              </w:rPr>
            </w:pPr>
          </w:p>
        </w:tc>
      </w:tr>
      <w:tr>
        <w:trPr>
          <w:trHeight w:val="139"/>
        </w:trPr>
        <w:tc>
          <w:tcPr>
            <w:tcW w:w="980" w:type="dxa"/>
            <w:vAlign w:val="bottom"/>
          </w:tcPr>
          <w:p>
            <w:pPr>
              <w:spacing w:after="0"/>
              <w:rPr>
                <w:sz w:val="20"/>
                <w:szCs w:val="20"/>
                <w:color w:val="auto"/>
              </w:rPr>
            </w:pPr>
            <w:r>
              <w:rPr>
                <w:rFonts w:ascii="Arial" w:cs="Arial" w:eastAsia="Arial" w:hAnsi="Arial"/>
                <w:sz w:val="11"/>
                <w:szCs w:val="11"/>
                <w:color w:val="auto"/>
              </w:rPr>
              <w:t>2020</w:t>
            </w:r>
          </w:p>
        </w:tc>
        <w:tc>
          <w:tcPr>
            <w:tcW w:w="62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560" w:type="dxa"/>
            <w:vAlign w:val="bottom"/>
          </w:tcPr>
          <w:p>
            <w:pPr>
              <w:jc w:val="right"/>
              <w:ind w:right="66"/>
              <w:spacing w:after="0"/>
              <w:rPr>
                <w:sz w:val="20"/>
                <w:szCs w:val="20"/>
                <w:color w:val="auto"/>
              </w:rPr>
            </w:pPr>
            <w:r>
              <w:rPr>
                <w:rFonts w:ascii="Arial" w:cs="Arial" w:eastAsia="Arial" w:hAnsi="Arial"/>
                <w:sz w:val="11"/>
                <w:szCs w:val="11"/>
                <w:color w:val="auto"/>
              </w:rPr>
              <w:t>5,079</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263,068</w:t>
            </w:r>
          </w:p>
        </w:tc>
        <w:tc>
          <w:tcPr>
            <w:tcW w:w="140" w:type="dxa"/>
            <w:vAlign w:val="bottom"/>
          </w:tcPr>
          <w:p>
            <w:pPr>
              <w:spacing w:after="0"/>
              <w:rPr>
                <w:sz w:val="11"/>
                <w:szCs w:val="11"/>
                <w:color w:val="auto"/>
              </w:rPr>
            </w:pPr>
          </w:p>
        </w:tc>
        <w:tc>
          <w:tcPr>
            <w:tcW w:w="3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2,604</w:t>
            </w:r>
          </w:p>
        </w:tc>
        <w:tc>
          <w:tcPr>
            <w:tcW w:w="10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2,604</w:t>
            </w:r>
          </w:p>
        </w:tc>
      </w:tr>
      <w:tr>
        <w:trPr>
          <w:trHeight w:val="631"/>
        </w:trPr>
        <w:tc>
          <w:tcPr>
            <w:tcW w:w="5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339,249</w:t>
            </w:r>
          </w:p>
        </w:tc>
        <w:tc>
          <w:tcPr>
            <w:tcW w:w="14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280"/>
        </w:trPr>
        <w:tc>
          <w:tcPr>
            <w:tcW w:w="560" w:type="dxa"/>
            <w:vAlign w:val="bottom"/>
          </w:tcPr>
          <w:p>
            <w:pPr>
              <w:jc w:val="right"/>
              <w:ind w:right="66"/>
              <w:spacing w:after="0"/>
              <w:rPr>
                <w:sz w:val="20"/>
                <w:szCs w:val="20"/>
                <w:color w:val="auto"/>
              </w:rPr>
            </w:pPr>
            <w:r>
              <w:rPr>
                <w:rFonts w:ascii="Arial" w:cs="Arial" w:eastAsia="Arial" w:hAnsi="Arial"/>
                <w:sz w:val="11"/>
                <w:szCs w:val="11"/>
                <w:color w:val="auto"/>
              </w:rPr>
              <w:t>7,433</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6,501</w:t>
            </w: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6,501</w:t>
            </w:r>
          </w:p>
        </w:tc>
      </w:tr>
      <w:tr>
        <w:trPr>
          <w:trHeight w:val="631"/>
        </w:trPr>
        <w:tc>
          <w:tcPr>
            <w:tcW w:w="560" w:type="dxa"/>
            <w:vAlign w:val="bottom"/>
          </w:tcPr>
          <w:p>
            <w:pPr>
              <w:jc w:val="right"/>
              <w:ind w:right="66"/>
              <w:spacing w:after="0"/>
              <w:rPr>
                <w:sz w:val="20"/>
                <w:szCs w:val="20"/>
                <w:color w:val="auto"/>
              </w:rPr>
            </w:pPr>
            <w:r>
              <w:rPr>
                <w:rFonts w:ascii="Arial" w:cs="Arial" w:eastAsia="Arial" w:hAnsi="Arial"/>
                <w:sz w:val="11"/>
                <w:szCs w:val="11"/>
                <w:color w:val="auto"/>
              </w:rPr>
              <w:t>1,111</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48,683</w:t>
            </w:r>
          </w:p>
        </w:tc>
        <w:tc>
          <w:tcPr>
            <w:tcW w:w="14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1,152</w:t>
            </w: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1,152</w:t>
            </w:r>
          </w:p>
        </w:tc>
      </w:tr>
      <w:tr>
        <w:trPr>
          <w:trHeight w:val="234"/>
        </w:trPr>
        <w:tc>
          <w:tcPr>
            <w:tcW w:w="560" w:type="dxa"/>
            <w:vAlign w:val="bottom"/>
          </w:tcPr>
          <w:p>
            <w:pPr>
              <w:jc w:val="right"/>
              <w:ind w:right="26"/>
              <w:spacing w:after="0"/>
              <w:rPr>
                <w:sz w:val="20"/>
                <w:szCs w:val="20"/>
                <w:color w:val="auto"/>
              </w:rPr>
            </w:pPr>
            <w:r>
              <w:rPr>
                <w:rFonts w:ascii="Arial" w:cs="Arial" w:eastAsia="Arial" w:hAnsi="Arial"/>
                <w:sz w:val="11"/>
                <w:szCs w:val="11"/>
                <w:color w:val="auto"/>
              </w:rPr>
              <w:t>(18,627)</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(23,987)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(23,987)</w:t>
            </w:r>
          </w:p>
        </w:tc>
      </w:tr>
      <w:tr>
        <w:trPr>
          <w:trHeight w:val="405"/>
        </w:trPr>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1,931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w:t>
            </w:r>
          </w:p>
        </w:tc>
      </w:tr>
      <w:tr>
        <w:trPr>
          <w:trHeight w:val="249"/>
        </w:trPr>
        <w:tc>
          <w:tcPr>
            <w:tcW w:w="560" w:type="dxa"/>
            <w:vAlign w:val="bottom"/>
          </w:tcPr>
          <w:p>
            <w:pPr>
              <w:jc w:val="right"/>
              <w:ind w:right="66"/>
              <w:spacing w:after="0"/>
              <w:rPr>
                <w:sz w:val="20"/>
                <w:szCs w:val="20"/>
                <w:color w:val="auto"/>
              </w:rPr>
            </w:pPr>
            <w:r>
              <w:rPr>
                <w:rFonts w:ascii="Arial" w:cs="Arial" w:eastAsia="Arial" w:hAnsi="Arial"/>
                <w:sz w:val="11"/>
                <w:szCs w:val="11"/>
                <w:color w:val="auto"/>
                <w:w w:val="91"/>
              </w:rPr>
              <w:t>$143,314</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w w:val="98"/>
              </w:rPr>
              <w:t>65,398,798</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280" w:type="dxa"/>
            <w:vAlign w:val="bottom"/>
          </w:tcPr>
          <w:p>
            <w:pPr>
              <w:ind w:left="60"/>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2"/>
              </w:rPr>
              <w:t>(2,704,706)</w:t>
            </w:r>
          </w:p>
        </w:tc>
        <w:tc>
          <w:tcPr>
            <w:tcW w:w="100" w:type="dxa"/>
            <w:vAlign w:val="bottom"/>
          </w:tcPr>
          <w:p>
            <w:pPr>
              <w:spacing w:after="0"/>
              <w:rPr>
                <w:sz w:val="21"/>
                <w:szCs w:val="21"/>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color w:val="auto"/>
              </w:rPr>
              <w:t>$   (3)</w:t>
            </w: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w w:val="93"/>
              </w:rPr>
              <w:t>$ 412,253</w:t>
            </w:r>
          </w:p>
        </w:tc>
        <w:tc>
          <w:tcPr>
            <w:tcW w:w="10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w w:val="94"/>
              </w:rPr>
              <w:t>$  (230,368)</w:t>
            </w:r>
          </w:p>
        </w:tc>
        <w:tc>
          <w:tcPr>
            <w:tcW w:w="100" w:type="dxa"/>
            <w:vAlign w:val="bottom"/>
          </w:tcPr>
          <w:p>
            <w:pPr>
              <w:spacing w:after="0"/>
              <w:rPr>
                <w:sz w:val="21"/>
                <w:szCs w:val="21"/>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(4,631)</w:t>
            </w:r>
          </w:p>
        </w:tc>
        <w:tc>
          <w:tcPr>
            <w:tcW w:w="80" w:type="dxa"/>
            <w:vAlign w:val="bottom"/>
          </w:tcPr>
          <w:p>
            <w:pPr>
              <w:spacing w:after="0"/>
              <w:rPr>
                <w:sz w:val="21"/>
                <w:szCs w:val="21"/>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w w:val="91"/>
              </w:rPr>
              <w:t>$177,316</w:t>
            </w: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-1572260</wp:posOffset>
            </wp:positionV>
            <wp:extent cx="7165340" cy="400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340" cy="400685"/>
                    </a:xfrm>
                    <a:prstGeom prst="rect">
                      <a:avLst/>
                    </a:prstGeom>
                    <a:noFill/>
                  </pic:spPr>
                </pic:pic>
              </a:graphicData>
            </a:graphic>
          </wp:anchor>
        </w:drawing>
        <w:drawing>
          <wp:anchor simplePos="0" relativeHeight="251657728" behindDoc="1" locked="0" layoutInCell="0" allowOverlap="1">
            <wp:simplePos x="0" y="0"/>
            <wp:positionH relativeFrom="column">
              <wp:posOffset>-3547110</wp:posOffset>
            </wp:positionH>
            <wp:positionV relativeFrom="paragraph">
              <wp:posOffset>-993140</wp:posOffset>
            </wp:positionV>
            <wp:extent cx="7165340" cy="400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400685"/>
                    </a:xfrm>
                    <a:prstGeom prst="rect">
                      <a:avLst/>
                    </a:prstGeom>
                    <a:noFill/>
                  </pic:spPr>
                </pic:pic>
              </a:graphicData>
            </a:graphic>
          </wp:anchor>
        </w:drawing>
        <w:drawing>
          <wp:anchor simplePos="0" relativeHeight="251657728" behindDoc="1" locked="0" layoutInCell="0" allowOverlap="1">
            <wp:simplePos x="0" y="0"/>
            <wp:positionH relativeFrom="column">
              <wp:posOffset>-3547110</wp:posOffset>
            </wp:positionH>
            <wp:positionV relativeFrom="paragraph">
              <wp:posOffset>-444500</wp:posOffset>
            </wp:positionV>
            <wp:extent cx="7165340" cy="252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340" cy="25209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5480" w:space="100"/>
            <w:col w:w="5700"/>
          </w:cols>
          <w:pgMar w:left="320" w:top="497" w:right="299" w:bottom="1440" w:gutter="0" w:footer="0" w:header="0"/>
          <w:type w:val="continuous"/>
        </w:sectPr>
      </w:pPr>
    </w:p>
    <w:p>
      <w:pPr>
        <w:jc w:val="center"/>
        <w:ind w:right="4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20" w:top="497" w:right="29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1"/>
          <w:szCs w:val="11"/>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2053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5345" cy="762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120" w:type="dxa"/>
            <w:vAlign w:val="bottom"/>
            <w:gridSpan w:val="5"/>
            <w:vMerge w:val="restart"/>
          </w:tcPr>
          <w:p>
            <w:pPr>
              <w:ind w:left="160"/>
              <w:spacing w:after="0"/>
              <w:rPr>
                <w:sz w:val="20"/>
                <w:szCs w:val="20"/>
                <w:color w:val="auto"/>
              </w:rPr>
            </w:pPr>
            <w:r>
              <w:rPr>
                <w:rFonts w:ascii="Arial" w:cs="Arial" w:eastAsia="Arial" w:hAnsi="Arial"/>
                <w:sz w:val="11"/>
                <w:szCs w:val="11"/>
                <w:b w:val="1"/>
                <w:bCs w:val="1"/>
                <w:color w:val="auto"/>
              </w:rPr>
              <w:t>Common Stock</w:t>
            </w:r>
          </w:p>
        </w:tc>
        <w:tc>
          <w:tcPr>
            <w:tcW w:w="118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Treasury Stock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100"/>
              <w:spacing w:after="0" w:line="124" w:lineRule="exact"/>
              <w:rPr>
                <w:sz w:val="20"/>
                <w:szCs w:val="20"/>
                <w:color w:val="auto"/>
              </w:rPr>
            </w:pPr>
            <w:r>
              <w:rPr>
                <w:rFonts w:ascii="Arial" w:cs="Arial" w:eastAsia="Arial" w:hAnsi="Arial"/>
                <w:sz w:val="11"/>
                <w:szCs w:val="11"/>
                <w:b w:val="1"/>
                <w:bCs w:val="1"/>
                <w:color w:val="auto"/>
                <w:w w:val="89"/>
              </w:rPr>
              <w:t>Accumulated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5"/>
            <w:vMerge w:val="restart"/>
          </w:tcPr>
          <w:p>
            <w:pPr>
              <w:ind w:left="160"/>
              <w:spacing w:after="0"/>
              <w:rPr>
                <w:sz w:val="20"/>
                <w:szCs w:val="20"/>
                <w:color w:val="auto"/>
              </w:rPr>
            </w:pPr>
            <w:r>
              <w:rPr>
                <w:rFonts w:ascii="Arial" w:cs="Arial" w:eastAsia="Arial" w:hAnsi="Arial"/>
                <w:sz w:val="11"/>
                <w:szCs w:val="11"/>
                <w:b w:val="1"/>
                <w:bCs w:val="1"/>
                <w:color w:val="auto"/>
              </w:rPr>
              <w:t>Common Stock</w:t>
            </w:r>
          </w:p>
        </w:tc>
        <w:tc>
          <w:tcPr>
            <w:tcW w:w="136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Treasury Stock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100"/>
              <w:spacing w:after="0" w:line="124" w:lineRule="exact"/>
              <w:rPr>
                <w:sz w:val="20"/>
                <w:szCs w:val="20"/>
                <w:color w:val="auto"/>
              </w:rPr>
            </w:pPr>
            <w:r>
              <w:rPr>
                <w:rFonts w:ascii="Arial" w:cs="Arial" w:eastAsia="Arial" w:hAnsi="Arial"/>
                <w:sz w:val="11"/>
                <w:szCs w:val="11"/>
                <w:b w:val="1"/>
                <w:bCs w:val="1"/>
                <w:color w:val="auto"/>
                <w:w w:val="86"/>
              </w:rPr>
              <w:t>Accumulated</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1120" w:type="dxa"/>
            <w:vAlign w:val="bottom"/>
            <w:gridSpan w:val="5"/>
            <w:vMerge w:val="continue"/>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6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8"/>
              </w:rPr>
              <w:t>Other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5"/>
            <w:vMerge w:val="continue"/>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66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5"/>
              </w:rPr>
              <w:t>Other</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ind w:left="120"/>
              <w:spacing w:after="0" w:line="93" w:lineRule="exact"/>
              <w:rPr>
                <w:sz w:val="20"/>
                <w:szCs w:val="20"/>
                <w:color w:val="auto"/>
              </w:rPr>
            </w:pPr>
            <w:r>
              <w:rPr>
                <w:rFonts w:ascii="Arial" w:cs="Arial" w:eastAsia="Arial" w:hAnsi="Arial"/>
                <w:sz w:val="10"/>
                <w:szCs w:val="10"/>
                <w:b w:val="1"/>
                <w:bCs w:val="1"/>
                <w:color w:val="auto"/>
              </w:rPr>
              <w:t>Paid-in</w:t>
            </w:r>
          </w:p>
        </w:tc>
        <w:tc>
          <w:tcPr>
            <w:tcW w:w="760" w:type="dxa"/>
            <w:vAlign w:val="bottom"/>
            <w:gridSpan w:val="3"/>
          </w:tcPr>
          <w:p>
            <w:pPr>
              <w:ind w:left="20"/>
              <w:spacing w:after="0" w:line="93" w:lineRule="exact"/>
              <w:rPr>
                <w:sz w:val="20"/>
                <w:szCs w:val="20"/>
                <w:color w:val="auto"/>
              </w:rPr>
            </w:pPr>
            <w:r>
              <w:rPr>
                <w:rFonts w:ascii="Arial" w:cs="Arial" w:eastAsia="Arial" w:hAnsi="Arial"/>
                <w:sz w:val="10"/>
                <w:szCs w:val="10"/>
                <w:b w:val="1"/>
                <w:bCs w:val="1"/>
                <w:color w:val="auto"/>
              </w:rPr>
              <w:t>Accumulated</w:t>
            </w:r>
          </w:p>
        </w:tc>
        <w:tc>
          <w:tcPr>
            <w:tcW w:w="840" w:type="dxa"/>
            <w:vAlign w:val="bottom"/>
            <w:gridSpan w:val="3"/>
          </w:tcPr>
          <w:p>
            <w:pPr>
              <w:ind w:left="20"/>
              <w:spacing w:after="0" w:line="93" w:lineRule="exact"/>
              <w:rPr>
                <w:sz w:val="20"/>
                <w:szCs w:val="20"/>
                <w:color w:val="auto"/>
              </w:rPr>
            </w:pPr>
            <w:r>
              <w:rPr>
                <w:rFonts w:ascii="Arial" w:cs="Arial" w:eastAsia="Arial" w:hAnsi="Arial"/>
                <w:sz w:val="10"/>
                <w:szCs w:val="10"/>
                <w:b w:val="1"/>
                <w:bCs w:val="1"/>
                <w:color w:val="auto"/>
              </w:rPr>
              <w:t>Comprehensive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gridSpan w:val="2"/>
          </w:tcPr>
          <w:p>
            <w:pPr>
              <w:jc w:val="center"/>
              <w:ind w:right="120"/>
              <w:spacing w:after="0" w:line="93" w:lineRule="exact"/>
              <w:rPr>
                <w:sz w:val="20"/>
                <w:szCs w:val="20"/>
                <w:color w:val="auto"/>
              </w:rPr>
            </w:pPr>
            <w:r>
              <w:rPr>
                <w:rFonts w:ascii="Arial" w:cs="Arial" w:eastAsia="Arial" w:hAnsi="Arial"/>
                <w:sz w:val="10"/>
                <w:szCs w:val="10"/>
                <w:b w:val="1"/>
                <w:bCs w:val="1"/>
                <w:color w:val="auto"/>
              </w:rPr>
              <w:t>Paid-in</w:t>
            </w:r>
          </w:p>
        </w:tc>
        <w:tc>
          <w:tcPr>
            <w:tcW w:w="740" w:type="dxa"/>
            <w:vAlign w:val="bottom"/>
            <w:gridSpan w:val="3"/>
          </w:tcPr>
          <w:p>
            <w:pPr>
              <w:ind w:left="20"/>
              <w:spacing w:after="0" w:line="93"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3"/>
          </w:tcPr>
          <w:p>
            <w:pPr>
              <w:jc w:val="center"/>
              <w:ind w:right="100"/>
              <w:spacing w:after="0" w:line="93" w:lineRule="exact"/>
              <w:rPr>
                <w:sz w:val="20"/>
                <w:szCs w:val="20"/>
                <w:color w:val="auto"/>
              </w:rPr>
            </w:pPr>
            <w:r>
              <w:rPr>
                <w:rFonts w:ascii="Arial" w:cs="Arial" w:eastAsia="Arial" w:hAnsi="Arial"/>
                <w:sz w:val="10"/>
                <w:szCs w:val="10"/>
                <w:b w:val="1"/>
                <w:bCs w:val="1"/>
                <w:color w:val="auto"/>
                <w:w w:val="95"/>
              </w:rPr>
              <w:t>Comprehensive</w:t>
            </w: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6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2"/>
                <w:szCs w:val="12"/>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5"/>
              </w:rPr>
              <w:t>Loss</w:t>
            </w:r>
          </w:p>
        </w:tc>
        <w:tc>
          <w:tcPr>
            <w:tcW w:w="62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77"/>
              </w:rPr>
              <w:t>Loss</w:t>
            </w:r>
          </w:p>
        </w:tc>
        <w:tc>
          <w:tcPr>
            <w:tcW w:w="500" w:type="dxa"/>
            <w:vAlign w:val="bottom"/>
          </w:tcPr>
          <w:p>
            <w:pPr>
              <w:jc w:val="right"/>
              <w:ind w:right="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6"/>
        </w:trPr>
        <w:tc>
          <w:tcPr>
            <w:tcW w:w="920" w:type="dxa"/>
            <w:vAlign w:val="bottom"/>
            <w:tcBorders>
              <w:top w:val="single" w:sz="8" w:color="CCFFCC"/>
            </w:tcBorders>
            <w:shd w:val="clear" w:color="auto" w:fill="CCFFCC"/>
          </w:tcPr>
          <w:p>
            <w:pPr>
              <w:ind w:left="20"/>
              <w:spacing w:after="0" w:line="116" w:lineRule="exact"/>
              <w:rPr>
                <w:sz w:val="20"/>
                <w:szCs w:val="20"/>
                <w:color w:val="auto"/>
              </w:rPr>
            </w:pPr>
            <w:r>
              <w:rPr>
                <w:rFonts w:ascii="Arial" w:cs="Arial" w:eastAsia="Arial" w:hAnsi="Arial"/>
                <w:sz w:val="11"/>
                <w:szCs w:val="11"/>
                <w:color w:val="auto"/>
              </w:rPr>
              <w:t>Balance at</w:t>
            </w:r>
          </w:p>
        </w:tc>
        <w:tc>
          <w:tcPr>
            <w:tcW w:w="52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auto"/>
            </w:tcBorders>
            <w:shd w:val="clear" w:color="auto" w:fill="CCFFCC"/>
          </w:tcPr>
          <w:p>
            <w:pPr>
              <w:spacing w:after="0"/>
              <w:rPr>
                <w:sz w:val="10"/>
                <w:szCs w:val="10"/>
                <w:color w:val="auto"/>
              </w:rPr>
            </w:pPr>
          </w:p>
        </w:tc>
        <w:tc>
          <w:tcPr>
            <w:tcW w:w="280" w:type="dxa"/>
            <w:vAlign w:val="bottom"/>
            <w:tcBorders>
              <w:top w:val="single" w:sz="8" w:color="CCFFCC"/>
              <w:right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shd w:val="clear" w:color="auto" w:fill="CCFFCC"/>
          </w:tcPr>
          <w:p>
            <w:pPr>
              <w:ind w:left="20"/>
              <w:spacing w:after="0" w:line="117" w:lineRule="exact"/>
              <w:rPr>
                <w:sz w:val="20"/>
                <w:szCs w:val="20"/>
                <w:color w:val="auto"/>
              </w:rPr>
            </w:pPr>
            <w:r>
              <w:rPr>
                <w:rFonts w:ascii="Arial" w:cs="Arial" w:eastAsia="Arial" w:hAnsi="Arial"/>
                <w:sz w:val="11"/>
                <w:szCs w:val="11"/>
                <w:color w:val="auto"/>
                <w:w w:val="91"/>
              </w:rPr>
              <w:t>December 31, 2019</w:t>
            </w: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280" w:type="dxa"/>
            <w:vAlign w:val="bottom"/>
            <w:tcBorders>
              <w:right w:val="single" w:sz="8" w:color="CCFFCC"/>
            </w:tcBorders>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20" w:type="dxa"/>
            <w:vAlign w:val="bottom"/>
            <w:shd w:val="clear" w:color="auto" w:fill="CCFFCC"/>
          </w:tcPr>
          <w:p>
            <w:pPr>
              <w:ind w:left="20"/>
              <w:spacing w:after="0"/>
              <w:rPr>
                <w:sz w:val="20"/>
                <w:szCs w:val="20"/>
                <w:color w:val="auto"/>
              </w:rPr>
            </w:pPr>
            <w:r>
              <w:rPr>
                <w:rFonts w:ascii="Arial" w:cs="Arial" w:eastAsia="Arial" w:hAnsi="Arial"/>
                <w:sz w:val="11"/>
                <w:szCs w:val="11"/>
                <w:color w:val="auto"/>
              </w:rPr>
              <w:t>and 2018</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w w:val="90"/>
              </w:rPr>
              <w:t>66,543,073</w:t>
            </w: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rPr>
              <w:t>67</w:t>
            </w:r>
          </w:p>
        </w:tc>
        <w:tc>
          <w:tcPr>
            <w:tcW w:w="100" w:type="dxa"/>
            <w:vAlign w:val="bottom"/>
            <w:shd w:val="clear" w:color="auto" w:fill="CCFFCC"/>
          </w:tcPr>
          <w:p>
            <w:pPr>
              <w:spacing w:after="0"/>
              <w:rPr>
                <w:sz w:val="13"/>
                <w:szCs w:val="13"/>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2"/>
              </w:rPr>
              <w:t>(2,709,830)</w:t>
            </w:r>
          </w:p>
        </w:tc>
        <w:tc>
          <w:tcPr>
            <w:tcW w:w="80" w:type="dxa"/>
            <w:vAlign w:val="bottom"/>
            <w:shd w:val="clear" w:color="auto" w:fill="CCFFCC"/>
          </w:tcPr>
          <w:p>
            <w:pPr>
              <w:spacing w:after="0"/>
              <w:rPr>
                <w:sz w:val="13"/>
                <w:szCs w:val="13"/>
                <w:color w:val="auto"/>
              </w:rPr>
            </w:pP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FFCC"/>
          </w:tcPr>
          <w:p>
            <w:pPr>
              <w:spacing w:after="0"/>
              <w:rPr>
                <w:sz w:val="13"/>
                <w:szCs w:val="13"/>
                <w:color w:val="auto"/>
              </w:rPr>
            </w:pPr>
          </w:p>
        </w:tc>
        <w:tc>
          <w:tcPr>
            <w:tcW w:w="56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w w:val="89"/>
              </w:rPr>
              <w:t>$ 436,557</w:t>
            </w: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w w:val="93"/>
              </w:rPr>
              <w:t>(283,562)</w:t>
            </w: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(4,524)</w:t>
            </w:r>
          </w:p>
        </w:tc>
        <w:tc>
          <w:tcPr>
            <w:tcW w:w="80" w:type="dxa"/>
            <w:vAlign w:val="bottom"/>
            <w:shd w:val="clear" w:color="auto" w:fill="CCFFCC"/>
          </w:tcPr>
          <w:p>
            <w:pPr>
              <w:spacing w:after="0"/>
              <w:rPr>
                <w:sz w:val="13"/>
                <w:szCs w:val="13"/>
                <w:color w:val="auto"/>
              </w:rPr>
            </w:pPr>
          </w:p>
        </w:tc>
        <w:tc>
          <w:tcPr>
            <w:tcW w:w="52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w w:val="91"/>
              </w:rPr>
              <w:t>$148,535</w:t>
            </w:r>
          </w:p>
        </w:tc>
        <w:tc>
          <w:tcPr>
            <w:tcW w:w="100" w:type="dxa"/>
            <w:vAlign w:val="bottom"/>
            <w:shd w:val="clear" w:color="auto" w:fill="CCFFCC"/>
          </w:tcPr>
          <w:p>
            <w:pPr>
              <w:spacing w:after="0"/>
              <w:rPr>
                <w:sz w:val="13"/>
                <w:szCs w:val="13"/>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w w:val="87"/>
              </w:rPr>
              <w:t>63,676,046</w:t>
            </w: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rPr>
              <w:t>64</w:t>
            </w:r>
          </w:p>
        </w:tc>
        <w:tc>
          <w:tcPr>
            <w:tcW w:w="100" w:type="dxa"/>
            <w:vAlign w:val="bottom"/>
            <w:shd w:val="clear" w:color="auto" w:fill="CCFFCC"/>
          </w:tcPr>
          <w:p>
            <w:pPr>
              <w:spacing w:after="0"/>
              <w:rPr>
                <w:sz w:val="13"/>
                <w:szCs w:val="13"/>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2"/>
              </w:rPr>
              <w:t>(2,681,285)</w:t>
            </w:r>
          </w:p>
        </w:tc>
        <w:tc>
          <w:tcPr>
            <w:tcW w:w="100" w:type="dxa"/>
            <w:vAlign w:val="bottom"/>
            <w:shd w:val="clear" w:color="auto" w:fill="CCFFCC"/>
          </w:tcPr>
          <w:p>
            <w:pPr>
              <w:spacing w:after="0"/>
              <w:rPr>
                <w:sz w:val="13"/>
                <w:szCs w:val="13"/>
                <w:color w:val="auto"/>
              </w:rPr>
            </w:pP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(3)</w:t>
            </w:r>
          </w:p>
        </w:tc>
        <w:tc>
          <w:tcPr>
            <w:tcW w:w="280" w:type="dxa"/>
            <w:vAlign w:val="bottom"/>
            <w:tcBorders>
              <w:right w:val="single" w:sz="8" w:color="CCFFCC"/>
            </w:tcBorders>
            <w:shd w:val="clear" w:color="auto" w:fill="CCFFCC"/>
          </w:tcPr>
          <w:p>
            <w:pPr>
              <w:spacing w:after="0"/>
              <w:rPr>
                <w:sz w:val="13"/>
                <w:szCs w:val="13"/>
                <w:color w:val="auto"/>
              </w:rPr>
            </w:pPr>
          </w:p>
        </w:tc>
        <w:tc>
          <w:tcPr>
            <w:tcW w:w="56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w w:val="89"/>
              </w:rPr>
              <w:t>$ 362,590</w:t>
            </w: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w w:val="93"/>
              </w:rPr>
              <w:t>(187,491)</w:t>
            </w: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jc w:val="right"/>
              <w:ind w:right="27"/>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(4,431)</w:t>
            </w:r>
          </w:p>
        </w:tc>
        <w:tc>
          <w:tcPr>
            <w:tcW w:w="100" w:type="dxa"/>
            <w:vAlign w:val="bottom"/>
            <w:shd w:val="clear" w:color="auto" w:fill="CCFFCC"/>
          </w:tcPr>
          <w:p>
            <w:pPr>
              <w:spacing w:after="0"/>
              <w:rPr>
                <w:sz w:val="13"/>
                <w:szCs w:val="13"/>
                <w:color w:val="auto"/>
              </w:rPr>
            </w:pPr>
          </w:p>
        </w:tc>
        <w:tc>
          <w:tcPr>
            <w:tcW w:w="5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w w:val="91"/>
              </w:rPr>
              <w:t>$170,729</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w w:val="92"/>
              </w:rPr>
              <w:t>Common stock</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issued upon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exercise of</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220"/>
              <w:spacing w:after="0"/>
              <w:rPr>
                <w:sz w:val="20"/>
                <w:szCs w:val="20"/>
                <w:color w:val="auto"/>
              </w:rPr>
            </w:pPr>
            <w:r>
              <w:rPr>
                <w:rFonts w:ascii="Arial" w:cs="Arial" w:eastAsia="Arial" w:hAnsi="Arial"/>
                <w:sz w:val="11"/>
                <w:szCs w:val="11"/>
                <w:color w:val="auto"/>
              </w:rPr>
              <w:t>stock options</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602,658</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7,034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7,034</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889,546</w:t>
            </w:r>
          </w:p>
        </w:tc>
        <w:tc>
          <w:tcPr>
            <w:tcW w:w="14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Arial" w:cs="Arial" w:eastAsia="Arial" w:hAnsi="Arial"/>
                <w:sz w:val="11"/>
                <w:szCs w:val="11"/>
                <w:color w:val="auto"/>
                <w:w w:val="96"/>
              </w:rPr>
              <w:t>—   9,080</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9,080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9,081</w:t>
            </w:r>
          </w:p>
        </w:tc>
        <w:tc>
          <w:tcPr>
            <w:tcW w:w="0" w:type="dxa"/>
            <w:vAlign w:val="bottom"/>
          </w:tcPr>
          <w:p>
            <w:pPr>
              <w:spacing w:after="0"/>
              <w:rPr>
                <w:sz w:val="1"/>
                <w:szCs w:val="1"/>
                <w:color w:val="auto"/>
              </w:rPr>
            </w:pPr>
          </w:p>
        </w:tc>
      </w:tr>
      <w:tr>
        <w:trPr>
          <w:trHeight w:val="136"/>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w w:val="92"/>
              </w:rPr>
              <w:t>Common stock</w:t>
            </w: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80" w:type="dxa"/>
            <w:vAlign w:val="bottom"/>
            <w:tcBorders>
              <w:right w:val="single" w:sz="8" w:color="CCFFCC"/>
            </w:tcBorders>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20" w:type="dxa"/>
            <w:vAlign w:val="bottom"/>
            <w:shd w:val="clear" w:color="auto" w:fill="CCFFCC"/>
          </w:tcPr>
          <w:p>
            <w:pPr>
              <w:ind w:left="220"/>
              <w:spacing w:after="0" w:line="117" w:lineRule="exact"/>
              <w:rPr>
                <w:sz w:val="20"/>
                <w:szCs w:val="20"/>
                <w:color w:val="auto"/>
              </w:rPr>
            </w:pPr>
            <w:r>
              <w:rPr>
                <w:rFonts w:ascii="Arial" w:cs="Arial" w:eastAsia="Arial" w:hAnsi="Arial"/>
                <w:sz w:val="11"/>
                <w:szCs w:val="11"/>
                <w:color w:val="auto"/>
              </w:rPr>
              <w:t>issued upon</w:t>
            </w: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280" w:type="dxa"/>
            <w:vAlign w:val="bottom"/>
            <w:tcBorders>
              <w:right w:val="single" w:sz="8" w:color="CCFFCC"/>
            </w:tcBorders>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shd w:val="clear" w:color="auto" w:fill="CCFFCC"/>
          </w:tcPr>
          <w:p>
            <w:pPr>
              <w:ind w:left="220"/>
              <w:spacing w:after="0" w:line="117" w:lineRule="exact"/>
              <w:rPr>
                <w:sz w:val="20"/>
                <w:szCs w:val="20"/>
                <w:color w:val="auto"/>
              </w:rPr>
            </w:pPr>
            <w:r>
              <w:rPr>
                <w:rFonts w:ascii="Arial" w:cs="Arial" w:eastAsia="Arial" w:hAnsi="Arial"/>
                <w:sz w:val="11"/>
                <w:szCs w:val="11"/>
                <w:color w:val="auto"/>
              </w:rPr>
              <w:t>vesting of</w:t>
            </w: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280" w:type="dxa"/>
            <w:vAlign w:val="bottom"/>
            <w:tcBorders>
              <w:right w:val="single" w:sz="8" w:color="CCFFCC"/>
            </w:tcBorders>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shd w:val="clear" w:color="auto" w:fill="CCFFCC"/>
          </w:tcPr>
          <w:p>
            <w:pPr>
              <w:ind w:left="220"/>
              <w:spacing w:after="0" w:line="117" w:lineRule="exact"/>
              <w:rPr>
                <w:sz w:val="20"/>
                <w:szCs w:val="20"/>
                <w:color w:val="auto"/>
              </w:rPr>
            </w:pPr>
            <w:r>
              <w:rPr>
                <w:rFonts w:ascii="Arial" w:cs="Arial" w:eastAsia="Arial" w:hAnsi="Arial"/>
                <w:sz w:val="11"/>
                <w:szCs w:val="11"/>
                <w:color w:val="auto"/>
                <w:w w:val="91"/>
              </w:rPr>
              <w:t>restricted stock</w:t>
            </w: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280" w:type="dxa"/>
            <w:vAlign w:val="bottom"/>
            <w:tcBorders>
              <w:right w:val="single" w:sz="8" w:color="CCFFCC"/>
            </w:tcBorders>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units</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501,804</w:t>
            </w:r>
          </w:p>
        </w:tc>
        <w:tc>
          <w:tcPr>
            <w:tcW w:w="140" w:type="dxa"/>
            <w:vAlign w:val="bottom"/>
            <w:shd w:val="clear" w:color="auto" w:fill="CCFFCC"/>
          </w:tcPr>
          <w:p>
            <w:pPr>
              <w:spacing w:after="0"/>
              <w:rPr>
                <w:sz w:val="13"/>
                <w:szCs w:val="13"/>
                <w:color w:val="auto"/>
              </w:rPr>
            </w:pPr>
          </w:p>
        </w:tc>
        <w:tc>
          <w:tcPr>
            <w:tcW w:w="28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FFCC"/>
          </w:tcPr>
          <w:p>
            <w:pPr>
              <w:spacing w:after="0"/>
              <w:rPr>
                <w:sz w:val="13"/>
                <w:szCs w:val="13"/>
                <w:color w:val="auto"/>
              </w:rPr>
            </w:pP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FFCC"/>
          </w:tcPr>
          <w:p>
            <w:pPr>
              <w:spacing w:after="0"/>
              <w:rPr>
                <w:sz w:val="13"/>
                <w:szCs w:val="13"/>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754,174</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560" w:type="dxa"/>
            <w:vAlign w:val="bottom"/>
            <w:tcBorders>
              <w:right w:val="single" w:sz="8" w:color="CCFFCC"/>
            </w:tcBorders>
            <w:gridSpan w:val="2"/>
            <w:shd w:val="clear" w:color="auto" w:fill="CCFFCC"/>
          </w:tcPr>
          <w:p>
            <w:pPr>
              <w:jc w:val="right"/>
              <w:ind w:righ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w w:val="92"/>
              </w:rPr>
              <w:t>Common stock</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as earnout</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payment in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connection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with</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w w:val="95"/>
              </w:rPr>
              <w:t>AdvantageTec</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220"/>
              <w:spacing w:after="0"/>
              <w:rPr>
                <w:sz w:val="20"/>
                <w:szCs w:val="20"/>
                <w:color w:val="auto"/>
              </w:rPr>
            </w:pPr>
            <w:r>
              <w:rPr>
                <w:rFonts w:ascii="Arial" w:cs="Arial" w:eastAsia="Arial" w:hAnsi="Arial"/>
                <w:sz w:val="11"/>
                <w:szCs w:val="11"/>
                <w:color w:val="auto"/>
              </w:rPr>
              <w:t>Inc.</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11,508</w:t>
            </w:r>
          </w:p>
        </w:tc>
        <w:tc>
          <w:tcPr>
            <w:tcW w:w="14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Stock-based</w:t>
            </w: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80" w:type="dxa"/>
            <w:vAlign w:val="bottom"/>
            <w:tcBorders>
              <w:right w:val="single" w:sz="8" w:color="CCFFCC"/>
            </w:tcBorders>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w w:val="99"/>
              </w:rPr>
              <w:t>compensation</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rPr>
              <w:t>16,952</w:t>
            </w: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16,952</w:t>
            </w:r>
          </w:p>
        </w:tc>
        <w:tc>
          <w:tcPr>
            <w:tcW w:w="100" w:type="dxa"/>
            <w:vAlign w:val="bottom"/>
            <w:shd w:val="clear" w:color="auto" w:fill="CCFFCC"/>
          </w:tcPr>
          <w:p>
            <w:pPr>
              <w:spacing w:after="0"/>
              <w:rPr>
                <w:sz w:val="13"/>
                <w:szCs w:val="13"/>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560" w:type="dxa"/>
            <w:vAlign w:val="bottom"/>
            <w:tcBorders>
              <w:right w:val="single" w:sz="8" w:color="CCFFCC"/>
            </w:tcBorders>
            <w:gridSpan w:val="2"/>
            <w:shd w:val="clear" w:color="auto" w:fill="CCFFCC"/>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rPr>
              <w:t>11,689</w:t>
            </w: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11,689</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rPr>
              <w:t>Bonus cash</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payment</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settled in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shares of the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Company's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20" w:type="dxa"/>
            <w:vAlign w:val="bottom"/>
          </w:tcPr>
          <w:p>
            <w:pPr>
              <w:ind w:left="220"/>
              <w:spacing w:after="0"/>
              <w:rPr>
                <w:sz w:val="20"/>
                <w:szCs w:val="20"/>
                <w:color w:val="auto"/>
              </w:rPr>
            </w:pPr>
            <w:r>
              <w:rPr>
                <w:rFonts w:ascii="Arial" w:cs="Arial" w:eastAsia="Arial" w:hAnsi="Arial"/>
                <w:sz w:val="11"/>
                <w:szCs w:val="11"/>
                <w:color w:val="auto"/>
                <w:w w:val="95"/>
              </w:rPr>
              <w:t>common stock</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991,905</w:t>
            </w:r>
          </w:p>
        </w:tc>
        <w:tc>
          <w:tcPr>
            <w:tcW w:w="140" w:type="dxa"/>
            <w:vAlign w:val="bottom"/>
          </w:tcPr>
          <w:p>
            <w:pPr>
              <w:spacing w:after="0"/>
              <w:rPr>
                <w:sz w:val="11"/>
                <w:szCs w:val="11"/>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46"/>
              <w:spacing w:after="0"/>
              <w:rPr>
                <w:sz w:val="20"/>
                <w:szCs w:val="20"/>
                <w:color w:val="auto"/>
              </w:rPr>
            </w:pPr>
            <w:r>
              <w:rPr>
                <w:rFonts w:ascii="Arial" w:cs="Arial" w:eastAsia="Arial" w:hAnsi="Arial"/>
                <w:sz w:val="11"/>
                <w:szCs w:val="11"/>
                <w:color w:val="auto"/>
              </w:rPr>
              <w:t>24,656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26"/>
              <w:spacing w:after="0"/>
              <w:rPr>
                <w:sz w:val="20"/>
                <w:szCs w:val="20"/>
                <w:color w:val="auto"/>
              </w:rPr>
            </w:pPr>
            <w:r>
              <w:rPr>
                <w:rFonts w:ascii="Arial" w:cs="Arial" w:eastAsia="Arial" w:hAnsi="Arial"/>
                <w:sz w:val="11"/>
                <w:szCs w:val="11"/>
                <w:color w:val="auto"/>
              </w:rPr>
              <w:t>24,656</w:t>
            </w:r>
          </w:p>
        </w:tc>
        <w:tc>
          <w:tcPr>
            <w:tcW w:w="100" w:type="dxa"/>
            <w:vAlign w:val="bottom"/>
          </w:tcPr>
          <w:p>
            <w:pPr>
              <w:spacing w:after="0"/>
              <w:rPr>
                <w:sz w:val="11"/>
                <w:szCs w:val="11"/>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38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ASU 2016-13</w:t>
            </w: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80" w:type="dxa"/>
            <w:vAlign w:val="bottom"/>
            <w:tcBorders>
              <w:right w:val="single" w:sz="8" w:color="CCFFCC"/>
            </w:tcBorders>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20" w:type="dxa"/>
            <w:vAlign w:val="bottom"/>
            <w:shd w:val="clear" w:color="auto" w:fill="CCFFCC"/>
          </w:tcPr>
          <w:p>
            <w:pPr>
              <w:ind w:left="220"/>
              <w:spacing w:after="0" w:line="117" w:lineRule="exact"/>
              <w:rPr>
                <w:sz w:val="20"/>
                <w:szCs w:val="20"/>
                <w:color w:val="auto"/>
              </w:rPr>
            </w:pPr>
            <w:r>
              <w:rPr>
                <w:rFonts w:ascii="Arial" w:cs="Arial" w:eastAsia="Arial" w:hAnsi="Arial"/>
                <w:sz w:val="11"/>
                <w:szCs w:val="11"/>
                <w:color w:val="auto"/>
              </w:rPr>
              <w:t>(Topic 326)</w:t>
            </w: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280" w:type="dxa"/>
            <w:vAlign w:val="bottom"/>
            <w:tcBorders>
              <w:right w:val="single" w:sz="8" w:color="CCFFCC"/>
            </w:tcBorders>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shd w:val="clear" w:color="auto" w:fill="CCFFCC"/>
          </w:tcPr>
          <w:p>
            <w:pPr>
              <w:ind w:left="220"/>
              <w:spacing w:after="0" w:line="117" w:lineRule="exact"/>
              <w:rPr>
                <w:sz w:val="20"/>
                <w:szCs w:val="20"/>
                <w:color w:val="auto"/>
              </w:rPr>
            </w:pPr>
            <w:r>
              <w:rPr>
                <w:rFonts w:ascii="Arial" w:cs="Arial" w:eastAsia="Arial" w:hAnsi="Arial"/>
                <w:sz w:val="11"/>
                <w:szCs w:val="11"/>
                <w:color w:val="auto"/>
              </w:rPr>
              <w:t>Adjustment</w:t>
            </w: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280" w:type="dxa"/>
            <w:vAlign w:val="bottom"/>
            <w:tcBorders>
              <w:right w:val="single" w:sz="8" w:color="CCFFCC"/>
            </w:tcBorders>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(See note 1)</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54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(729)</w:t>
            </w: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(729)</w:t>
            </w:r>
          </w:p>
        </w:tc>
        <w:tc>
          <w:tcPr>
            <w:tcW w:w="100" w:type="dxa"/>
            <w:vAlign w:val="bottom"/>
            <w:shd w:val="clear" w:color="auto" w:fill="CCFFCC"/>
          </w:tcPr>
          <w:p>
            <w:pPr>
              <w:spacing w:after="0"/>
              <w:rPr>
                <w:sz w:val="13"/>
                <w:szCs w:val="13"/>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560" w:type="dxa"/>
            <w:vAlign w:val="bottom"/>
            <w:tcBorders>
              <w:right w:val="single" w:sz="8" w:color="CCFFCC"/>
            </w:tcBorders>
            <w:gridSpan w:val="2"/>
            <w:shd w:val="clear" w:color="auto" w:fill="CCFFCC"/>
          </w:tcPr>
          <w:p>
            <w:pPr>
              <w:jc w:val="right"/>
              <w:ind w:righ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w w:val="92"/>
              </w:rPr>
              <w:t>Common stock</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issued under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Employee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220"/>
              <w:spacing w:after="0"/>
              <w:rPr>
                <w:sz w:val="20"/>
                <w:szCs w:val="20"/>
                <w:color w:val="auto"/>
              </w:rPr>
            </w:pPr>
            <w:r>
              <w:rPr>
                <w:rFonts w:ascii="Arial" w:cs="Arial" w:eastAsia="Arial" w:hAnsi="Arial"/>
                <w:sz w:val="11"/>
                <w:szCs w:val="11"/>
                <w:color w:val="auto"/>
                <w:w w:val="94"/>
              </w:rPr>
              <w:t>Purchase Plan</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80,529</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2,737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2,737</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79,032</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1,873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1,873</w:t>
            </w:r>
          </w:p>
        </w:tc>
        <w:tc>
          <w:tcPr>
            <w:tcW w:w="0" w:type="dxa"/>
            <w:vAlign w:val="bottom"/>
          </w:tcPr>
          <w:p>
            <w:pPr>
              <w:spacing w:after="0"/>
              <w:rPr>
                <w:sz w:val="1"/>
                <w:szCs w:val="1"/>
                <w:color w:val="auto"/>
              </w:rPr>
            </w:pPr>
          </w:p>
        </w:tc>
      </w:tr>
      <w:tr>
        <w:trPr>
          <w:trHeight w:val="136"/>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w w:val="92"/>
              </w:rPr>
              <w:t>Common stock</w:t>
            </w: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80" w:type="dxa"/>
            <w:vAlign w:val="bottom"/>
            <w:tcBorders>
              <w:right w:val="single" w:sz="8" w:color="CCFFCC"/>
            </w:tcBorders>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repurchase</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(23,421)</w:t>
            </w:r>
          </w:p>
        </w:tc>
        <w:tc>
          <w:tcPr>
            <w:tcW w:w="1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560" w:type="dxa"/>
            <w:vAlign w:val="bottom"/>
            <w:tcBorders>
              <w:right w:val="single" w:sz="8" w:color="CCFFCC"/>
            </w:tcBorders>
            <w:gridSpan w:val="2"/>
            <w:shd w:val="clear" w:color="auto" w:fill="CCFFCC"/>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(709)</w:t>
            </w: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(709)</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rPr>
              <w:t>Equity</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component of</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convertible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220"/>
              <w:spacing w:after="0"/>
              <w:rPr>
                <w:sz w:val="20"/>
                <w:szCs w:val="20"/>
                <w:color w:val="auto"/>
              </w:rPr>
            </w:pPr>
            <w:r>
              <w:rPr>
                <w:rFonts w:ascii="Arial" w:cs="Arial" w:eastAsia="Arial" w:hAnsi="Arial"/>
                <w:sz w:val="11"/>
                <w:szCs w:val="11"/>
                <w:color w:val="auto"/>
              </w:rPr>
              <w:t>senior notes</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52,900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52,900</w:t>
            </w:r>
          </w:p>
        </w:tc>
        <w:tc>
          <w:tcPr>
            <w:tcW w:w="0" w:type="dxa"/>
            <w:vAlign w:val="bottom"/>
          </w:tcPr>
          <w:p>
            <w:pPr>
              <w:spacing w:after="0"/>
              <w:rPr>
                <w:sz w:val="1"/>
                <w:szCs w:val="1"/>
                <w:color w:val="auto"/>
              </w:rPr>
            </w:pPr>
          </w:p>
        </w:tc>
      </w:tr>
      <w:tr>
        <w:trPr>
          <w:trHeight w:val="136"/>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Equity</w:t>
            </w: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80" w:type="dxa"/>
            <w:vAlign w:val="bottom"/>
            <w:tcBorders>
              <w:right w:val="single" w:sz="8" w:color="CCFFCC"/>
            </w:tcBorders>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20" w:type="dxa"/>
            <w:vAlign w:val="bottom"/>
            <w:shd w:val="clear" w:color="auto" w:fill="CCFFCC"/>
          </w:tcPr>
          <w:p>
            <w:pPr>
              <w:ind w:left="220"/>
              <w:spacing w:after="0" w:line="117" w:lineRule="exact"/>
              <w:rPr>
                <w:sz w:val="20"/>
                <w:szCs w:val="20"/>
                <w:color w:val="auto"/>
              </w:rPr>
            </w:pPr>
            <w:r>
              <w:rPr>
                <w:rFonts w:ascii="Arial" w:cs="Arial" w:eastAsia="Arial" w:hAnsi="Arial"/>
                <w:sz w:val="11"/>
                <w:szCs w:val="11"/>
                <w:color w:val="auto"/>
              </w:rPr>
              <w:t>component of</w:t>
            </w: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280" w:type="dxa"/>
            <w:vAlign w:val="bottom"/>
            <w:tcBorders>
              <w:right w:val="single" w:sz="8" w:color="CCFFCC"/>
            </w:tcBorders>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shd w:val="clear" w:color="auto" w:fill="CCFFCC"/>
          </w:tcPr>
          <w:p>
            <w:pPr>
              <w:ind w:left="220"/>
              <w:spacing w:after="0" w:line="117" w:lineRule="exact"/>
              <w:rPr>
                <w:sz w:val="20"/>
                <w:szCs w:val="20"/>
                <w:color w:val="auto"/>
              </w:rPr>
            </w:pPr>
            <w:r>
              <w:rPr>
                <w:rFonts w:ascii="Arial" w:cs="Arial" w:eastAsia="Arial" w:hAnsi="Arial"/>
                <w:sz w:val="11"/>
                <w:szCs w:val="11"/>
                <w:color w:val="auto"/>
              </w:rPr>
              <w:t>convertible</w:t>
            </w: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280" w:type="dxa"/>
            <w:vAlign w:val="bottom"/>
            <w:tcBorders>
              <w:right w:val="single" w:sz="8" w:color="CCFFCC"/>
            </w:tcBorders>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shd w:val="clear" w:color="auto" w:fill="CCFFCC"/>
          </w:tcPr>
          <w:p>
            <w:pPr>
              <w:ind w:left="220"/>
              <w:spacing w:after="0" w:line="117" w:lineRule="exact"/>
              <w:rPr>
                <w:sz w:val="20"/>
                <w:szCs w:val="20"/>
                <w:color w:val="auto"/>
              </w:rPr>
            </w:pPr>
            <w:r>
              <w:rPr>
                <w:rFonts w:ascii="Arial" w:cs="Arial" w:eastAsia="Arial" w:hAnsi="Arial"/>
                <w:sz w:val="11"/>
                <w:szCs w:val="11"/>
                <w:color w:val="auto"/>
              </w:rPr>
              <w:t>senior notes</w:t>
            </w: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280" w:type="dxa"/>
            <w:vAlign w:val="bottom"/>
            <w:tcBorders>
              <w:right w:val="single" w:sz="8" w:color="CCFFCC"/>
            </w:tcBorders>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w w:val="94"/>
              </w:rPr>
              <w:t>issuance costs</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3"/>
                <w:szCs w:val="13"/>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13"/>
                <w:szCs w:val="13"/>
                <w:color w:val="auto"/>
              </w:rPr>
            </w:pPr>
          </w:p>
        </w:tc>
        <w:tc>
          <w:tcPr>
            <w:tcW w:w="560" w:type="dxa"/>
            <w:vAlign w:val="bottom"/>
            <w:tcBorders>
              <w:right w:val="single" w:sz="8" w:color="CCFFCC"/>
            </w:tcBorders>
            <w:gridSpan w:val="2"/>
            <w:shd w:val="clear" w:color="auto" w:fill="CCFFCC"/>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(1,986)</w:t>
            </w: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3"/>
                <w:szCs w:val="13"/>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(1,986)</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rPr>
              <w:t>Purchase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rPr>
              <w:t>capped call</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220"/>
              <w:spacing w:after="0"/>
              <w:rPr>
                <w:sz w:val="20"/>
                <w:szCs w:val="20"/>
                <w:color w:val="auto"/>
              </w:rPr>
            </w:pPr>
            <w:r>
              <w:rPr>
                <w:rFonts w:ascii="Arial" w:cs="Arial" w:eastAsia="Arial" w:hAnsi="Arial"/>
                <w:sz w:val="11"/>
                <w:szCs w:val="11"/>
                <w:color w:val="auto"/>
              </w:rPr>
              <w:t>option</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(23,184)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(23,184)</w:t>
            </w:r>
          </w:p>
        </w:tc>
        <w:tc>
          <w:tcPr>
            <w:tcW w:w="0" w:type="dxa"/>
            <w:vAlign w:val="bottom"/>
          </w:tcPr>
          <w:p>
            <w:pPr>
              <w:spacing w:after="0"/>
              <w:rPr>
                <w:sz w:val="1"/>
                <w:szCs w:val="1"/>
                <w:color w:val="auto"/>
              </w:rPr>
            </w:pPr>
          </w:p>
        </w:tc>
      </w:tr>
      <w:tr>
        <w:trPr>
          <w:trHeight w:val="241"/>
        </w:trPr>
        <w:tc>
          <w:tcPr>
            <w:tcW w:w="920" w:type="dxa"/>
            <w:vAlign w:val="bottom"/>
            <w:shd w:val="clear" w:color="auto" w:fill="CCFFCC"/>
          </w:tcPr>
          <w:p>
            <w:pPr>
              <w:ind w:left="220"/>
              <w:spacing w:after="0"/>
              <w:rPr>
                <w:sz w:val="20"/>
                <w:szCs w:val="20"/>
                <w:color w:val="auto"/>
              </w:rPr>
            </w:pPr>
            <w:r>
              <w:rPr>
                <w:rFonts w:ascii="Arial" w:cs="Arial" w:eastAsia="Arial" w:hAnsi="Arial"/>
                <w:sz w:val="11"/>
                <w:szCs w:val="11"/>
                <w:color w:val="auto"/>
              </w:rPr>
              <w:t>Net loss</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20"/>
                <w:szCs w:val="20"/>
                <w:color w:val="auto"/>
              </w:rPr>
            </w:pPr>
          </w:p>
        </w:tc>
        <w:tc>
          <w:tcPr>
            <w:tcW w:w="54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(55,628)</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(55,628)</w:t>
            </w:r>
          </w:p>
        </w:tc>
        <w:tc>
          <w:tcPr>
            <w:tcW w:w="100" w:type="dxa"/>
            <w:vAlign w:val="bottom"/>
            <w:shd w:val="clear" w:color="auto" w:fill="CCFFCC"/>
          </w:tcPr>
          <w:p>
            <w:pPr>
              <w:spacing w:after="0"/>
              <w:rPr>
                <w:sz w:val="20"/>
                <w:szCs w:val="20"/>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FCC"/>
          </w:tcPr>
          <w:p>
            <w:pPr>
              <w:spacing w:after="0"/>
              <w:rPr>
                <w:sz w:val="20"/>
                <w:szCs w:val="20"/>
                <w:color w:val="auto"/>
              </w:rPr>
            </w:pPr>
          </w:p>
        </w:tc>
        <w:tc>
          <w:tcPr>
            <w:tcW w:w="560" w:type="dxa"/>
            <w:vAlign w:val="bottom"/>
            <w:tcBorders>
              <w:right w:val="single" w:sz="8" w:color="CCFFCC"/>
            </w:tcBorders>
            <w:gridSpan w:val="2"/>
            <w:shd w:val="clear" w:color="auto" w:fill="CCFFCC"/>
          </w:tcPr>
          <w:p>
            <w:pPr>
              <w:jc w:val="right"/>
              <w:ind w:righ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20"/>
                <w:szCs w:val="20"/>
                <w:color w:val="auto"/>
              </w:rPr>
            </w:pPr>
          </w:p>
        </w:tc>
        <w:tc>
          <w:tcPr>
            <w:tcW w:w="52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(42,877)</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(42,877)</w:t>
            </w:r>
          </w:p>
        </w:tc>
        <w:tc>
          <w:tcPr>
            <w:tcW w:w="0" w:type="dxa"/>
            <w:vAlign w:val="bottom"/>
          </w:tcPr>
          <w:p>
            <w:pPr>
              <w:spacing w:after="0"/>
              <w:rPr>
                <w:sz w:val="1"/>
                <w:szCs w:val="1"/>
                <w:color w:val="auto"/>
              </w:rPr>
            </w:pPr>
          </w:p>
        </w:tc>
      </w:tr>
      <w:tr>
        <w:trPr>
          <w:trHeight w:val="129"/>
        </w:trPr>
        <w:tc>
          <w:tcPr>
            <w:tcW w:w="920" w:type="dxa"/>
            <w:vAlign w:val="bottom"/>
          </w:tcPr>
          <w:p>
            <w:pPr>
              <w:ind w:left="220"/>
              <w:spacing w:after="0"/>
              <w:rPr>
                <w:sz w:val="20"/>
                <w:szCs w:val="20"/>
                <w:color w:val="auto"/>
              </w:rPr>
            </w:pPr>
            <w:r>
              <w:rPr>
                <w:rFonts w:ascii="Arial" w:cs="Arial" w:eastAsia="Arial" w:hAnsi="Arial"/>
                <w:sz w:val="11"/>
                <w:szCs w:val="11"/>
                <w:color w:val="auto"/>
              </w:rPr>
              <w:t>Other</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220"/>
              <w:spacing w:after="0" w:line="117" w:lineRule="exact"/>
              <w:rPr>
                <w:sz w:val="20"/>
                <w:szCs w:val="20"/>
                <w:color w:val="auto"/>
              </w:rPr>
            </w:pPr>
            <w:r>
              <w:rPr>
                <w:rFonts w:ascii="Arial" w:cs="Arial" w:eastAsia="Arial" w:hAnsi="Arial"/>
                <w:sz w:val="11"/>
                <w:szCs w:val="11"/>
                <w:color w:val="auto"/>
                <w:w w:val="91"/>
              </w:rPr>
              <w:t>comprehensive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220"/>
              <w:spacing w:after="0"/>
              <w:rPr>
                <w:sz w:val="20"/>
                <w:szCs w:val="20"/>
                <w:color w:val="auto"/>
              </w:rPr>
            </w:pPr>
            <w:r>
              <w:rPr>
                <w:rFonts w:ascii="Arial" w:cs="Arial" w:eastAsia="Arial" w:hAnsi="Arial"/>
                <w:sz w:val="11"/>
                <w:szCs w:val="11"/>
                <w:color w:val="auto"/>
              </w:rPr>
              <w:t>loss</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(538)</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(538)</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(200)</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20"/>
        </w:trPr>
        <w:tc>
          <w:tcPr>
            <w:tcW w:w="92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 w:type="dxa"/>
            <w:vAlign w:val="bottom"/>
            <w:shd w:val="clear" w:color="auto" w:fill="CCFFCC"/>
          </w:tcPr>
          <w:p>
            <w:pPr>
              <w:ind w:left="20"/>
              <w:spacing w:after="0"/>
              <w:rPr>
                <w:sz w:val="20"/>
                <w:szCs w:val="20"/>
                <w:color w:val="auto"/>
              </w:rPr>
            </w:pPr>
            <w:r>
              <w:rPr>
                <w:rFonts w:ascii="Arial" w:cs="Arial" w:eastAsia="Arial" w:hAnsi="Arial"/>
                <w:sz w:val="11"/>
                <w:szCs w:val="11"/>
                <w:color w:val="auto"/>
                <w:w w:val="93"/>
              </w:rPr>
              <w:t>Balance at June 30</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0"/>
              </w:rPr>
              <w:t>68,731,477</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rPr>
              <w:t>69</w:t>
            </w: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2"/>
              </w:rPr>
              <w:t>(2,709,830)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w w:val="89"/>
              </w:rPr>
              <w:t>$ 488,229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4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w w:val="93"/>
              </w:rPr>
              <w:t>(339,919)</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rPr>
              <w:t>(5,062)</w:t>
            </w:r>
          </w:p>
        </w:tc>
        <w:tc>
          <w:tcPr>
            <w:tcW w:w="80" w:type="dxa"/>
            <w:vAlign w:val="bottom"/>
            <w:shd w:val="clear" w:color="auto" w:fill="CCFFCC"/>
          </w:tcPr>
          <w:p>
            <w:pPr>
              <w:spacing w:after="0"/>
              <w:rPr>
                <w:sz w:val="18"/>
                <w:szCs w:val="18"/>
                <w:color w:val="auto"/>
              </w:rPr>
            </w:pPr>
          </w:p>
        </w:tc>
        <w:tc>
          <w:tcPr>
            <w:tcW w:w="520" w:type="dxa"/>
            <w:vAlign w:val="bottom"/>
            <w:shd w:val="clear" w:color="auto" w:fill="CCFFCC"/>
          </w:tcPr>
          <w:p>
            <w:pPr>
              <w:jc w:val="right"/>
              <w:ind w:right="26"/>
              <w:spacing w:after="0"/>
              <w:rPr>
                <w:sz w:val="20"/>
                <w:szCs w:val="20"/>
                <w:color w:val="auto"/>
              </w:rPr>
            </w:pPr>
            <w:r>
              <w:rPr>
                <w:rFonts w:ascii="Arial" w:cs="Arial" w:eastAsia="Arial" w:hAnsi="Arial"/>
                <w:sz w:val="11"/>
                <w:szCs w:val="11"/>
                <w:color w:val="auto"/>
                <w:w w:val="91"/>
              </w:rPr>
              <w:t>$143,314</w:t>
            </w:r>
          </w:p>
        </w:tc>
        <w:tc>
          <w:tcPr>
            <w:tcW w:w="10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w w:val="87"/>
              </w:rPr>
              <w:t>65,398,798</w:t>
            </w: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rPr>
              <w:t>65</w:t>
            </w: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2"/>
              </w:rPr>
              <w:t>(2,704,706)</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(3)</w:t>
            </w:r>
          </w:p>
        </w:tc>
        <w:tc>
          <w:tcPr>
            <w:tcW w:w="280" w:type="dxa"/>
            <w:vAlign w:val="bottom"/>
            <w:tcBorders>
              <w:right w:val="single" w:sz="8" w:color="CCFFCC"/>
            </w:tcBorders>
            <w:shd w:val="clear" w:color="auto" w:fill="CCFFCC"/>
          </w:tcPr>
          <w:p>
            <w:pPr>
              <w:spacing w:after="0"/>
              <w:rPr>
                <w:sz w:val="18"/>
                <w:szCs w:val="18"/>
                <w:color w:val="auto"/>
              </w:rPr>
            </w:pPr>
          </w:p>
        </w:tc>
        <w:tc>
          <w:tcPr>
            <w:tcW w:w="56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w w:val="89"/>
              </w:rPr>
              <w:t>$ 412,253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ind w:lef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w w:val="93"/>
              </w:rPr>
              <w:t>(230,368)</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27"/>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(4,631)</w:t>
            </w:r>
          </w:p>
        </w:tc>
        <w:tc>
          <w:tcPr>
            <w:tcW w:w="100" w:type="dxa"/>
            <w:vAlign w:val="bottom"/>
            <w:shd w:val="clear" w:color="auto" w:fill="CCFFCC"/>
          </w:tcPr>
          <w:p>
            <w:pPr>
              <w:spacing w:after="0"/>
              <w:rPr>
                <w:sz w:val="18"/>
                <w:szCs w:val="18"/>
                <w:color w:val="auto"/>
              </w:rPr>
            </w:pPr>
          </w:p>
        </w:tc>
        <w:tc>
          <w:tcPr>
            <w:tcW w:w="50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w w:val="91"/>
              </w:rPr>
              <w:t>$177,316</w:t>
            </w:r>
          </w:p>
        </w:tc>
        <w:tc>
          <w:tcPr>
            <w:tcW w:w="0" w:type="dxa"/>
            <w:vAlign w:val="bottom"/>
          </w:tcPr>
          <w:p>
            <w:pPr>
              <w:spacing w:after="0"/>
              <w:rPr>
                <w:sz w:val="1"/>
                <w:szCs w:val="1"/>
                <w:color w:val="auto"/>
              </w:rPr>
            </w:pPr>
          </w:p>
        </w:tc>
      </w:tr>
      <w:tr>
        <w:trPr>
          <w:trHeight w:val="20"/>
        </w:trPr>
        <w:tc>
          <w:tcPr>
            <w:tcW w:w="92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Notes to Condensed Consolidated Financial Statements (unaudited).</w:t>
      </w: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40"/>
          </w:cols>
          <w:pgMar w:left="320" w:top="63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LIVEPERSON,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12" w:lineRule="exact"/>
        <w:rPr>
          <w:sz w:val="20"/>
          <w:szCs w:val="20"/>
          <w:color w:val="auto"/>
        </w:rPr>
      </w:pPr>
    </w:p>
    <w:p>
      <w:pPr>
        <w:jc w:val="center"/>
        <w:ind w:left="8220"/>
        <w:spacing w:after="0"/>
        <w:rPr>
          <w:sz w:val="20"/>
          <w:szCs w:val="20"/>
          <w:color w:val="auto"/>
        </w:rPr>
      </w:pPr>
      <w:r>
        <w:rPr>
          <w:rFonts w:ascii="Arial" w:cs="Arial" w:eastAsia="Arial" w:hAnsi="Arial"/>
          <w:sz w:val="12"/>
          <w:szCs w:val="12"/>
          <w:b w:val="1"/>
          <w:bCs w:val="1"/>
          <w:color w:val="auto"/>
        </w:rPr>
        <w:t>Six Months Ended</w:t>
      </w:r>
    </w:p>
    <w:p>
      <w:pPr>
        <w:spacing w:after="0" w:line="105" w:lineRule="exact"/>
        <w:rPr>
          <w:sz w:val="20"/>
          <w:szCs w:val="20"/>
          <w:color w:val="auto"/>
        </w:rPr>
      </w:pPr>
    </w:p>
    <w:p>
      <w:pPr>
        <w:ind w:left="9520"/>
        <w:spacing w:after="0"/>
        <w:rPr>
          <w:sz w:val="20"/>
          <w:szCs w:val="20"/>
          <w:color w:val="auto"/>
        </w:rPr>
      </w:pPr>
      <w:r>
        <w:rPr>
          <w:rFonts w:ascii="Arial" w:cs="Arial" w:eastAsia="Arial" w:hAnsi="Arial"/>
          <w:sz w:val="12"/>
          <w:szCs w:val="12"/>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15875</wp:posOffset>
            </wp:positionV>
            <wp:extent cx="19284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8495" cy="762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00" w:type="dxa"/>
            <w:vAlign w:val="bottom"/>
            <w:tcBorders>
              <w:bottom w:val="single" w:sz="8" w:color="CCFFC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FFC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20"/>
        </w:trPr>
        <w:tc>
          <w:tcPr>
            <w:tcW w:w="8200" w:type="dxa"/>
            <w:vAlign w:val="bottom"/>
            <w:shd w:val="clear" w:color="auto" w:fill="CCFFCC"/>
          </w:tcPr>
          <w:p>
            <w:pPr>
              <w:ind w:left="20"/>
              <w:spacing w:after="0"/>
              <w:rPr>
                <w:sz w:val="20"/>
                <w:szCs w:val="20"/>
                <w:color w:val="auto"/>
              </w:rPr>
            </w:pPr>
            <w:r>
              <w:rPr>
                <w:rFonts w:ascii="Arial" w:cs="Arial" w:eastAsia="Arial" w:hAnsi="Arial"/>
                <w:sz w:val="12"/>
                <w:szCs w:val="12"/>
                <w:color w:val="auto"/>
              </w:rPr>
              <w:t>OPERATING ACTIVITIES:</w:t>
            </w:r>
          </w:p>
        </w:tc>
        <w:tc>
          <w:tcPr>
            <w:tcW w:w="36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00" w:type="dxa"/>
            <w:vAlign w:val="bottom"/>
          </w:tcPr>
          <w:p>
            <w:pPr>
              <w:ind w:left="20"/>
              <w:spacing w:after="0"/>
              <w:rPr>
                <w:sz w:val="20"/>
                <w:szCs w:val="20"/>
                <w:color w:val="auto"/>
              </w:rPr>
            </w:pPr>
            <w:r>
              <w:rPr>
                <w:rFonts w:ascii="Arial" w:cs="Arial" w:eastAsia="Arial" w:hAnsi="Arial"/>
                <w:sz w:val="12"/>
                <w:szCs w:val="12"/>
                <w:color w:val="auto"/>
              </w:rPr>
              <w:t>Net loss</w:t>
            </w:r>
          </w:p>
        </w:tc>
        <w:tc>
          <w:tcPr>
            <w:tcW w:w="36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(55,628)</w:t>
            </w:r>
          </w:p>
        </w:tc>
        <w:tc>
          <w:tcPr>
            <w:tcW w:w="120" w:type="dxa"/>
            <w:vAlign w:val="bottom"/>
          </w:tcPr>
          <w:p>
            <w:pPr>
              <w:spacing w:after="0"/>
              <w:rPr>
                <w:sz w:val="19"/>
                <w:szCs w:val="19"/>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(42,877)</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140"/>
              <w:spacing w:after="0"/>
              <w:rPr>
                <w:sz w:val="20"/>
                <w:szCs w:val="20"/>
                <w:color w:val="auto"/>
              </w:rPr>
            </w:pPr>
            <w:r>
              <w:rPr>
                <w:rFonts w:ascii="Arial" w:cs="Arial" w:eastAsia="Arial" w:hAnsi="Arial"/>
                <w:sz w:val="12"/>
                <w:szCs w:val="12"/>
                <w:color w:val="auto"/>
              </w:rPr>
              <w:t>Adjustments to reconcile net loss to net cash provided by (used in) operating activities:</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2"/>
                <w:szCs w:val="12"/>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30,642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2"/>
                <w:szCs w:val="12"/>
                <w:color w:val="auto"/>
              </w:rPr>
              <w:t>16,471</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140"/>
              <w:spacing w:after="0"/>
              <w:rPr>
                <w:sz w:val="20"/>
                <w:szCs w:val="20"/>
                <w:color w:val="auto"/>
              </w:rPr>
            </w:pPr>
            <w:r>
              <w:rPr>
                <w:rFonts w:ascii="Arial" w:cs="Arial" w:eastAsia="Arial" w:hAnsi="Arial"/>
                <w:sz w:val="12"/>
                <w:szCs w:val="12"/>
                <w:color w:val="auto"/>
              </w:rPr>
              <w:t>Depreciation and amortization</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11,274</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7,643</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2"/>
                <w:szCs w:val="12"/>
                <w:color w:val="auto"/>
              </w:rPr>
              <w:t>Amortization of tenant allowance</w:t>
            </w:r>
          </w:p>
        </w:tc>
        <w:tc>
          <w:tcPr>
            <w:tcW w:w="36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(258)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(258)</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140"/>
              <w:spacing w:after="0"/>
              <w:rPr>
                <w:sz w:val="20"/>
                <w:szCs w:val="20"/>
                <w:color w:val="auto"/>
              </w:rPr>
            </w:pPr>
            <w:r>
              <w:rPr>
                <w:rFonts w:ascii="Arial" w:cs="Arial" w:eastAsia="Arial" w:hAnsi="Arial"/>
                <w:sz w:val="12"/>
                <w:szCs w:val="12"/>
                <w:color w:val="auto"/>
              </w:rPr>
              <w:t>Amortization of purchased intangibles</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1,378</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1,469</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2"/>
                <w:szCs w:val="12"/>
                <w:color w:val="auto"/>
              </w:rPr>
              <w:t>Amortization of debt issuance costs</w:t>
            </w:r>
          </w:p>
        </w:tc>
        <w:tc>
          <w:tcPr>
            <w:tcW w:w="36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600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140"/>
              <w:spacing w:after="0"/>
              <w:rPr>
                <w:sz w:val="20"/>
                <w:szCs w:val="20"/>
                <w:color w:val="auto"/>
              </w:rPr>
            </w:pPr>
            <w:r>
              <w:rPr>
                <w:rFonts w:ascii="Arial" w:cs="Arial" w:eastAsia="Arial" w:hAnsi="Arial"/>
                <w:sz w:val="12"/>
                <w:szCs w:val="12"/>
                <w:color w:val="auto"/>
              </w:rPr>
              <w:t>Accretion of debt discount on convertible senior notes</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4,777</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2,990</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2"/>
                <w:szCs w:val="12"/>
                <w:color w:val="auto"/>
              </w:rPr>
              <w:t>Changes in fair value of contingent consideration</w:t>
            </w:r>
          </w:p>
        </w:tc>
        <w:tc>
          <w:tcPr>
            <w:tcW w:w="36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(263)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140"/>
              <w:spacing w:after="0"/>
              <w:rPr>
                <w:sz w:val="20"/>
                <w:szCs w:val="20"/>
                <w:color w:val="auto"/>
              </w:rPr>
            </w:pPr>
            <w:r>
              <w:rPr>
                <w:rFonts w:ascii="Arial" w:cs="Arial" w:eastAsia="Arial" w:hAnsi="Arial"/>
                <w:sz w:val="12"/>
                <w:szCs w:val="12"/>
                <w:color w:val="auto"/>
              </w:rPr>
              <w:t>Provision for doubtful accounts</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1,953</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938</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2"/>
                <w:szCs w:val="12"/>
                <w:color w:val="auto"/>
              </w:rPr>
              <w:t>Deferred income taxes</w:t>
            </w:r>
          </w:p>
        </w:tc>
        <w:tc>
          <w:tcPr>
            <w:tcW w:w="36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2"/>
                <w:szCs w:val="12"/>
                <w:color w:val="auto"/>
              </w:rPr>
              <w:t>Changes in operating assets and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320"/>
              <w:spacing w:after="0"/>
              <w:rPr>
                <w:sz w:val="20"/>
                <w:szCs w:val="20"/>
                <w:color w:val="auto"/>
              </w:rPr>
            </w:pPr>
            <w:r>
              <w:rPr>
                <w:rFonts w:ascii="Arial" w:cs="Arial" w:eastAsia="Arial" w:hAnsi="Arial"/>
                <w:sz w:val="12"/>
                <w:szCs w:val="12"/>
                <w:color w:val="auto"/>
              </w:rPr>
              <w:t>Accounts receivable</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10,051</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(6,383)</w:t>
            </w:r>
          </w:p>
        </w:tc>
        <w:tc>
          <w:tcPr>
            <w:tcW w:w="0" w:type="dxa"/>
            <w:vAlign w:val="bottom"/>
          </w:tcPr>
          <w:p>
            <w:pPr>
              <w:spacing w:after="0"/>
              <w:rPr>
                <w:sz w:val="1"/>
                <w:szCs w:val="1"/>
                <w:color w:val="auto"/>
              </w:rPr>
            </w:pPr>
          </w:p>
        </w:tc>
      </w:tr>
      <w:tr>
        <w:trPr>
          <w:trHeight w:val="228"/>
        </w:trPr>
        <w:tc>
          <w:tcPr>
            <w:tcW w:w="8200" w:type="dxa"/>
            <w:vAlign w:val="bottom"/>
          </w:tcPr>
          <w:p>
            <w:pPr>
              <w:ind w:left="320"/>
              <w:spacing w:after="0"/>
              <w:rPr>
                <w:sz w:val="20"/>
                <w:szCs w:val="20"/>
                <w:color w:val="auto"/>
              </w:rPr>
            </w:pPr>
            <w:r>
              <w:rPr>
                <w:rFonts w:ascii="Arial" w:cs="Arial" w:eastAsia="Arial" w:hAnsi="Arial"/>
                <w:sz w:val="12"/>
                <w:szCs w:val="12"/>
                <w:color w:val="auto"/>
              </w:rPr>
              <w:t>Prepaid expenses and other current assets</w:t>
            </w:r>
          </w:p>
        </w:tc>
        <w:tc>
          <w:tcPr>
            <w:tcW w:w="36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(5,377)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(6,069)</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320"/>
              <w:spacing w:after="0"/>
              <w:rPr>
                <w:sz w:val="20"/>
                <w:szCs w:val="20"/>
                <w:color w:val="auto"/>
              </w:rPr>
            </w:pPr>
            <w:r>
              <w:rPr>
                <w:rFonts w:ascii="Arial" w:cs="Arial" w:eastAsia="Arial" w:hAnsi="Arial"/>
                <w:sz w:val="12"/>
                <w:szCs w:val="12"/>
                <w:color w:val="auto"/>
              </w:rPr>
              <w:t>Contract acquisition costs noncurrent</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18"/>
              <w:spacing w:after="0"/>
              <w:rPr>
                <w:sz w:val="20"/>
                <w:szCs w:val="20"/>
                <w:color w:val="auto"/>
              </w:rPr>
            </w:pPr>
            <w:r>
              <w:rPr>
                <w:rFonts w:ascii="Arial" w:cs="Arial" w:eastAsia="Arial" w:hAnsi="Arial"/>
                <w:sz w:val="12"/>
                <w:szCs w:val="12"/>
                <w:color w:val="auto"/>
              </w:rPr>
              <w:t>(4,348)</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(6,635)</w:t>
            </w:r>
          </w:p>
        </w:tc>
        <w:tc>
          <w:tcPr>
            <w:tcW w:w="0" w:type="dxa"/>
            <w:vAlign w:val="bottom"/>
          </w:tcPr>
          <w:p>
            <w:pPr>
              <w:spacing w:after="0"/>
              <w:rPr>
                <w:sz w:val="1"/>
                <w:szCs w:val="1"/>
                <w:color w:val="auto"/>
              </w:rPr>
            </w:pPr>
          </w:p>
        </w:tc>
      </w:tr>
      <w:tr>
        <w:trPr>
          <w:trHeight w:val="228"/>
        </w:trPr>
        <w:tc>
          <w:tcPr>
            <w:tcW w:w="8200" w:type="dxa"/>
            <w:vAlign w:val="bottom"/>
          </w:tcPr>
          <w:p>
            <w:pPr>
              <w:ind w:left="320"/>
              <w:spacing w:after="0"/>
              <w:rPr>
                <w:sz w:val="20"/>
                <w:szCs w:val="20"/>
                <w:color w:val="auto"/>
              </w:rPr>
            </w:pPr>
            <w:r>
              <w:rPr>
                <w:rFonts w:ascii="Arial" w:cs="Arial" w:eastAsia="Arial" w:hAnsi="Arial"/>
                <w:sz w:val="12"/>
                <w:szCs w:val="12"/>
                <w:color w:val="auto"/>
              </w:rPr>
              <w:t>Other assets</w:t>
            </w:r>
          </w:p>
        </w:tc>
        <w:tc>
          <w:tcPr>
            <w:tcW w:w="36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320"/>
              <w:spacing w:after="0"/>
              <w:rPr>
                <w:sz w:val="20"/>
                <w:szCs w:val="20"/>
                <w:color w:val="auto"/>
              </w:rPr>
            </w:pPr>
            <w:r>
              <w:rPr>
                <w:rFonts w:ascii="Arial" w:cs="Arial" w:eastAsia="Arial" w:hAnsi="Arial"/>
                <w:sz w:val="12"/>
                <w:szCs w:val="12"/>
                <w:color w:val="auto"/>
              </w:rPr>
              <w:t>Accounts payable</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18"/>
              <w:spacing w:after="0"/>
              <w:rPr>
                <w:sz w:val="20"/>
                <w:szCs w:val="20"/>
                <w:color w:val="auto"/>
              </w:rPr>
            </w:pPr>
            <w:r>
              <w:rPr>
                <w:rFonts w:ascii="Arial" w:cs="Arial" w:eastAsia="Arial" w:hAnsi="Arial"/>
                <w:sz w:val="12"/>
                <w:szCs w:val="12"/>
                <w:color w:val="auto"/>
              </w:rPr>
              <w:t>(3,026)</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(418)</w:t>
            </w:r>
          </w:p>
        </w:tc>
        <w:tc>
          <w:tcPr>
            <w:tcW w:w="0" w:type="dxa"/>
            <w:vAlign w:val="bottom"/>
          </w:tcPr>
          <w:p>
            <w:pPr>
              <w:spacing w:after="0"/>
              <w:rPr>
                <w:sz w:val="1"/>
                <w:szCs w:val="1"/>
                <w:color w:val="auto"/>
              </w:rPr>
            </w:pPr>
          </w:p>
        </w:tc>
      </w:tr>
      <w:tr>
        <w:trPr>
          <w:trHeight w:val="228"/>
        </w:trPr>
        <w:tc>
          <w:tcPr>
            <w:tcW w:w="8200" w:type="dxa"/>
            <w:vAlign w:val="bottom"/>
          </w:tcPr>
          <w:p>
            <w:pPr>
              <w:ind w:left="320"/>
              <w:spacing w:after="0"/>
              <w:rPr>
                <w:sz w:val="20"/>
                <w:szCs w:val="20"/>
                <w:color w:val="auto"/>
              </w:rPr>
            </w:pPr>
            <w:r>
              <w:rPr>
                <w:rFonts w:ascii="Arial" w:cs="Arial" w:eastAsia="Arial" w:hAnsi="Arial"/>
                <w:sz w:val="12"/>
                <w:szCs w:val="12"/>
                <w:color w:val="auto"/>
              </w:rPr>
              <w:t>Accrued expenses and other current liabilities</w:t>
            </w:r>
          </w:p>
        </w:tc>
        <w:tc>
          <w:tcPr>
            <w:tcW w:w="36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2"/>
                <w:szCs w:val="12"/>
                <w:color w:val="auto"/>
              </w:rPr>
              <w:t>14,235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(11,114)</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320"/>
              <w:spacing w:after="0"/>
              <w:rPr>
                <w:sz w:val="20"/>
                <w:szCs w:val="20"/>
                <w:color w:val="auto"/>
              </w:rPr>
            </w:pPr>
            <w:r>
              <w:rPr>
                <w:rFonts w:ascii="Arial" w:cs="Arial" w:eastAsia="Arial" w:hAnsi="Arial"/>
                <w:sz w:val="12"/>
                <w:szCs w:val="12"/>
                <w:color w:val="auto"/>
              </w:rPr>
              <w:t>Deferred revenue</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5,979</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14,832</w:t>
            </w:r>
          </w:p>
        </w:tc>
        <w:tc>
          <w:tcPr>
            <w:tcW w:w="0" w:type="dxa"/>
            <w:vAlign w:val="bottom"/>
          </w:tcPr>
          <w:p>
            <w:pPr>
              <w:spacing w:after="0"/>
              <w:rPr>
                <w:sz w:val="1"/>
                <w:szCs w:val="1"/>
                <w:color w:val="auto"/>
              </w:rPr>
            </w:pPr>
          </w:p>
        </w:tc>
      </w:tr>
      <w:tr>
        <w:trPr>
          <w:trHeight w:val="164"/>
        </w:trPr>
        <w:tc>
          <w:tcPr>
            <w:tcW w:w="8200" w:type="dxa"/>
            <w:vAlign w:val="bottom"/>
          </w:tcPr>
          <w:p>
            <w:pPr>
              <w:ind w:left="320"/>
              <w:spacing w:after="0"/>
              <w:rPr>
                <w:sz w:val="20"/>
                <w:szCs w:val="20"/>
                <w:color w:val="auto"/>
              </w:rPr>
            </w:pPr>
            <w:r>
              <w:rPr>
                <w:rFonts w:ascii="Arial" w:cs="Arial" w:eastAsia="Arial" w:hAnsi="Arial"/>
                <w:sz w:val="12"/>
                <w:szCs w:val="12"/>
                <w:color w:val="auto"/>
              </w:rPr>
              <w:t>Operating lease liabilities</w:t>
            </w:r>
          </w:p>
        </w:tc>
        <w:tc>
          <w:tcPr>
            <w:tcW w:w="360" w:type="dxa"/>
            <w:vAlign w:val="bottom"/>
          </w:tcPr>
          <w:p>
            <w:pPr>
              <w:spacing w:after="0"/>
              <w:rPr>
                <w:sz w:val="14"/>
                <w:szCs w:val="14"/>
                <w:color w:val="auto"/>
              </w:rPr>
            </w:pPr>
          </w:p>
        </w:tc>
        <w:tc>
          <w:tcPr>
            <w:tcW w:w="1120" w:type="dxa"/>
            <w:vAlign w:val="bottom"/>
            <w:vMerge w:val="restart"/>
          </w:tcPr>
          <w:p>
            <w:pPr>
              <w:jc w:val="right"/>
              <w:ind w:right="58"/>
              <w:spacing w:after="0"/>
              <w:rPr>
                <w:sz w:val="20"/>
                <w:szCs w:val="20"/>
                <w:color w:val="auto"/>
              </w:rPr>
            </w:pPr>
            <w:r>
              <w:rPr>
                <w:rFonts w:ascii="Arial" w:cs="Arial" w:eastAsia="Arial" w:hAnsi="Arial"/>
                <w:sz w:val="12"/>
                <w:szCs w:val="12"/>
                <w:color w:val="auto"/>
              </w:rPr>
              <w:t>270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8200" w:type="dxa"/>
            <w:vAlign w:val="bottom"/>
            <w:shd w:val="clear" w:color="auto" w:fill="CCFFCC"/>
          </w:tcPr>
          <w:p>
            <w:pPr>
              <w:ind w:left="320"/>
              <w:spacing w:after="0"/>
              <w:rPr>
                <w:sz w:val="20"/>
                <w:szCs w:val="20"/>
                <w:color w:val="auto"/>
              </w:rPr>
            </w:pPr>
            <w:r>
              <w:rPr>
                <w:rFonts w:ascii="Arial" w:cs="Arial" w:eastAsia="Arial" w:hAnsi="Arial"/>
                <w:sz w:val="12"/>
                <w:szCs w:val="12"/>
                <w:color w:val="auto"/>
              </w:rPr>
              <w:t>Other liabilities</w:t>
            </w:r>
          </w:p>
        </w:tc>
        <w:tc>
          <w:tcPr>
            <w:tcW w:w="360" w:type="dxa"/>
            <w:vAlign w:val="bottom"/>
            <w:tcBorders>
              <w:bottom w:val="single" w:sz="8" w:color="auto"/>
            </w:tcBorders>
            <w:shd w:val="clear" w:color="auto" w:fill="CCFFCC"/>
          </w:tcPr>
          <w:p>
            <w:pPr>
              <w:spacing w:after="0"/>
              <w:rPr>
                <w:sz w:val="20"/>
                <w:szCs w:val="20"/>
                <w:color w:val="auto"/>
              </w:rPr>
            </w:pPr>
          </w:p>
        </w:tc>
        <w:tc>
          <w:tcPr>
            <w:tcW w:w="1120" w:type="dxa"/>
            <w:vAlign w:val="bottom"/>
            <w:tcBorders>
              <w:bottom w:val="single" w:sz="8" w:color="auto"/>
            </w:tcBorders>
            <w:shd w:val="clear" w:color="auto" w:fill="CCFFCC"/>
          </w:tcPr>
          <w:p>
            <w:pPr>
              <w:jc w:val="right"/>
              <w:ind w:right="58"/>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spacing w:after="0"/>
              <w:rPr>
                <w:sz w:val="20"/>
                <w:szCs w:val="20"/>
                <w:color w:val="auto"/>
              </w:rPr>
            </w:pPr>
          </w:p>
        </w:tc>
        <w:tc>
          <w:tcPr>
            <w:tcW w:w="1100" w:type="dxa"/>
            <w:vAlign w:val="bottom"/>
            <w:tcBorders>
              <w:bottom w:val="single" w:sz="8" w:color="auto"/>
            </w:tcBorders>
            <w:shd w:val="clear" w:color="auto" w:fill="CCFFCC"/>
          </w:tcPr>
          <w:p>
            <w:pPr>
              <w:jc w:val="right"/>
              <w:ind w:right="38"/>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214"/>
        </w:trPr>
        <w:tc>
          <w:tcPr>
            <w:tcW w:w="8200" w:type="dxa"/>
            <w:vAlign w:val="bottom"/>
            <w:tcBorders>
              <w:bottom w:val="single" w:sz="8" w:color="CCFFCC"/>
            </w:tcBorders>
          </w:tcPr>
          <w:p>
            <w:pPr>
              <w:ind w:left="500"/>
              <w:spacing w:after="0"/>
              <w:rPr>
                <w:sz w:val="20"/>
                <w:szCs w:val="20"/>
                <w:color w:val="auto"/>
              </w:rPr>
            </w:pPr>
            <w:r>
              <w:rPr>
                <w:rFonts w:ascii="Arial" w:cs="Arial" w:eastAsia="Arial" w:hAnsi="Arial"/>
                <w:sz w:val="12"/>
                <w:szCs w:val="12"/>
                <w:color w:val="auto"/>
              </w:rPr>
              <w:t>Net cash provided by (used in) operating activities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12,306</w:t>
            </w:r>
          </w:p>
        </w:tc>
        <w:tc>
          <w:tcPr>
            <w:tcW w:w="12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(28,912)</w:t>
            </w:r>
          </w:p>
        </w:tc>
        <w:tc>
          <w:tcPr>
            <w:tcW w:w="0" w:type="dxa"/>
            <w:vAlign w:val="bottom"/>
          </w:tcPr>
          <w:p>
            <w:pPr>
              <w:spacing w:after="0"/>
              <w:rPr>
                <w:sz w:val="1"/>
                <w:szCs w:val="1"/>
                <w:color w:val="auto"/>
              </w:rPr>
            </w:pPr>
          </w:p>
        </w:tc>
      </w:tr>
      <w:tr>
        <w:trPr>
          <w:trHeight w:val="231"/>
        </w:trPr>
        <w:tc>
          <w:tcPr>
            <w:tcW w:w="82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200" w:type="dxa"/>
            <w:vAlign w:val="bottom"/>
          </w:tcPr>
          <w:p>
            <w:pPr>
              <w:ind w:left="20"/>
              <w:spacing w:after="0"/>
              <w:rPr>
                <w:sz w:val="20"/>
                <w:szCs w:val="20"/>
                <w:color w:val="auto"/>
              </w:rPr>
            </w:pPr>
            <w:r>
              <w:rPr>
                <w:rFonts w:ascii="Arial" w:cs="Arial" w:eastAsia="Arial" w:hAnsi="Arial"/>
                <w:sz w:val="12"/>
                <w:szCs w:val="12"/>
                <w:color w:val="auto"/>
              </w:rPr>
              <w:t>INVESTING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140"/>
              <w:spacing w:after="0"/>
              <w:rPr>
                <w:sz w:val="20"/>
                <w:szCs w:val="20"/>
                <w:color w:val="auto"/>
              </w:rPr>
            </w:pPr>
            <w:r>
              <w:rPr>
                <w:rFonts w:ascii="Arial" w:cs="Arial" w:eastAsia="Arial" w:hAnsi="Arial"/>
                <w:sz w:val="12"/>
                <w:szCs w:val="12"/>
                <w:color w:val="auto"/>
              </w:rPr>
              <w:t>Purchases of property and equipment, including capitalized software</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18"/>
              <w:spacing w:after="0"/>
              <w:rPr>
                <w:sz w:val="20"/>
                <w:szCs w:val="20"/>
                <w:color w:val="auto"/>
              </w:rPr>
            </w:pPr>
            <w:r>
              <w:rPr>
                <w:rFonts w:ascii="Arial" w:cs="Arial" w:eastAsia="Arial" w:hAnsi="Arial"/>
                <w:sz w:val="12"/>
                <w:szCs w:val="12"/>
                <w:color w:val="auto"/>
              </w:rPr>
              <w:t>(23,611)</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(21,382)</w:t>
            </w:r>
          </w:p>
        </w:tc>
        <w:tc>
          <w:tcPr>
            <w:tcW w:w="0" w:type="dxa"/>
            <w:vAlign w:val="bottom"/>
          </w:tcPr>
          <w:p>
            <w:pPr>
              <w:spacing w:after="0"/>
              <w:rPr>
                <w:sz w:val="1"/>
                <w:szCs w:val="1"/>
                <w:color w:val="auto"/>
              </w:rPr>
            </w:pPr>
          </w:p>
        </w:tc>
      </w:tr>
      <w:tr>
        <w:trPr>
          <w:trHeight w:val="228"/>
        </w:trPr>
        <w:tc>
          <w:tcPr>
            <w:tcW w:w="8200" w:type="dxa"/>
            <w:vAlign w:val="bottom"/>
            <w:tcBorders>
              <w:bottom w:val="single" w:sz="8" w:color="CCFFCC"/>
            </w:tcBorders>
          </w:tcPr>
          <w:p>
            <w:pPr>
              <w:ind w:left="140"/>
              <w:spacing w:after="0"/>
              <w:rPr>
                <w:sz w:val="20"/>
                <w:szCs w:val="20"/>
                <w:color w:val="auto"/>
              </w:rPr>
            </w:pPr>
            <w:r>
              <w:rPr>
                <w:rFonts w:ascii="Arial" w:cs="Arial" w:eastAsia="Arial" w:hAnsi="Arial"/>
                <w:sz w:val="12"/>
                <w:szCs w:val="12"/>
                <w:color w:val="auto"/>
              </w:rPr>
              <w:t>Payments for intangible assets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(648)</w:t>
            </w:r>
          </w:p>
        </w:tc>
        <w:tc>
          <w:tcPr>
            <w:tcW w:w="12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214"/>
        </w:trPr>
        <w:tc>
          <w:tcPr>
            <w:tcW w:w="8200" w:type="dxa"/>
            <w:vAlign w:val="bottom"/>
            <w:shd w:val="clear" w:color="auto" w:fill="CCFFCC"/>
          </w:tcPr>
          <w:p>
            <w:pPr>
              <w:ind w:left="500"/>
              <w:spacing w:after="0"/>
              <w:rPr>
                <w:sz w:val="20"/>
                <w:szCs w:val="20"/>
                <w:color w:val="auto"/>
              </w:rPr>
            </w:pPr>
            <w:r>
              <w:rPr>
                <w:rFonts w:ascii="Arial" w:cs="Arial" w:eastAsia="Arial" w:hAnsi="Arial"/>
                <w:sz w:val="12"/>
                <w:szCs w:val="12"/>
                <w:color w:val="auto"/>
              </w:rPr>
              <w:t>Net cash used in investing activities</w:t>
            </w:r>
          </w:p>
        </w:tc>
        <w:tc>
          <w:tcPr>
            <w:tcW w:w="36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ind w:right="18"/>
              <w:spacing w:after="0"/>
              <w:rPr>
                <w:sz w:val="20"/>
                <w:szCs w:val="20"/>
                <w:color w:val="auto"/>
              </w:rPr>
            </w:pPr>
            <w:r>
              <w:rPr>
                <w:rFonts w:ascii="Arial" w:cs="Arial" w:eastAsia="Arial" w:hAnsi="Arial"/>
                <w:sz w:val="12"/>
                <w:szCs w:val="12"/>
                <w:color w:val="auto"/>
              </w:rPr>
              <w:t>(24,259)</w:t>
            </w:r>
          </w:p>
        </w:tc>
        <w:tc>
          <w:tcPr>
            <w:tcW w:w="12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(21,675)</w:t>
            </w:r>
          </w:p>
        </w:tc>
        <w:tc>
          <w:tcPr>
            <w:tcW w:w="0" w:type="dxa"/>
            <w:vAlign w:val="bottom"/>
          </w:tcPr>
          <w:p>
            <w:pPr>
              <w:spacing w:after="0"/>
              <w:rPr>
                <w:sz w:val="1"/>
                <w:szCs w:val="1"/>
                <w:color w:val="auto"/>
              </w:rPr>
            </w:pPr>
          </w:p>
        </w:tc>
      </w:tr>
      <w:tr>
        <w:trPr>
          <w:trHeight w:val="231"/>
        </w:trPr>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200" w:type="dxa"/>
            <w:vAlign w:val="bottom"/>
            <w:shd w:val="clear" w:color="auto" w:fill="CCFFCC"/>
          </w:tcPr>
          <w:p>
            <w:pPr>
              <w:ind w:left="20"/>
              <w:spacing w:after="0"/>
              <w:rPr>
                <w:sz w:val="20"/>
                <w:szCs w:val="20"/>
                <w:color w:val="auto"/>
              </w:rPr>
            </w:pPr>
            <w:r>
              <w:rPr>
                <w:rFonts w:ascii="Arial" w:cs="Arial" w:eastAsia="Arial" w:hAnsi="Arial"/>
                <w:sz w:val="12"/>
                <w:szCs w:val="12"/>
                <w:color w:val="auto"/>
              </w:rPr>
              <w:t>FINANCING ACTIVITIES:</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2"/>
                <w:szCs w:val="12"/>
                <w:color w:val="auto"/>
              </w:rPr>
              <w:t>Repurchase of common stock</w:t>
            </w:r>
          </w:p>
        </w:tc>
        <w:tc>
          <w:tcPr>
            <w:tcW w:w="3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(709)</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140"/>
              <w:spacing w:after="0"/>
              <w:rPr>
                <w:sz w:val="20"/>
                <w:szCs w:val="20"/>
                <w:color w:val="auto"/>
              </w:rPr>
            </w:pPr>
            <w:r>
              <w:rPr>
                <w:rFonts w:ascii="Arial" w:cs="Arial" w:eastAsia="Arial" w:hAnsi="Arial"/>
                <w:sz w:val="12"/>
                <w:szCs w:val="12"/>
                <w:color w:val="auto"/>
              </w:rPr>
              <w:t>Proceeds from issuance of common stock in connection with the exercise of options and ESPP</w:t>
            </w:r>
          </w:p>
        </w:tc>
        <w:tc>
          <w:tcPr>
            <w:tcW w:w="36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9,123</w:t>
            </w: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10,953</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2"/>
                <w:szCs w:val="12"/>
                <w:color w:val="auto"/>
              </w:rPr>
              <w:t>Proceeds from issuance of convertible senior notes</w:t>
            </w:r>
          </w:p>
        </w:tc>
        <w:tc>
          <w:tcPr>
            <w:tcW w:w="3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2"/>
                <w:szCs w:val="12"/>
                <w:color w:val="auto"/>
              </w:rPr>
              <w:t>230,000</w:t>
            </w:r>
          </w:p>
        </w:tc>
        <w:tc>
          <w:tcPr>
            <w:tcW w:w="0" w:type="dxa"/>
            <w:vAlign w:val="bottom"/>
          </w:tcPr>
          <w:p>
            <w:pPr>
              <w:spacing w:after="0"/>
              <w:rPr>
                <w:sz w:val="1"/>
                <w:szCs w:val="1"/>
                <w:color w:val="auto"/>
              </w:rPr>
            </w:pPr>
          </w:p>
        </w:tc>
      </w:tr>
      <w:tr>
        <w:trPr>
          <w:trHeight w:val="239"/>
        </w:trPr>
        <w:tc>
          <w:tcPr>
            <w:tcW w:w="8200" w:type="dxa"/>
            <w:vAlign w:val="bottom"/>
            <w:shd w:val="clear" w:color="auto" w:fill="CCFFCC"/>
          </w:tcPr>
          <w:p>
            <w:pPr>
              <w:ind w:left="140"/>
              <w:spacing w:after="0"/>
              <w:rPr>
                <w:sz w:val="20"/>
                <w:szCs w:val="20"/>
                <w:color w:val="auto"/>
              </w:rPr>
            </w:pPr>
            <w:r>
              <w:rPr>
                <w:rFonts w:ascii="Arial" w:cs="Arial" w:eastAsia="Arial" w:hAnsi="Arial"/>
                <w:sz w:val="12"/>
                <w:szCs w:val="12"/>
                <w:color w:val="auto"/>
              </w:rPr>
              <w:t>Payment of issuance costs in connection with convertible senior notes</w:t>
            </w:r>
          </w:p>
        </w:tc>
        <w:tc>
          <w:tcPr>
            <w:tcW w:w="3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(7,587)</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2"/>
                <w:szCs w:val="12"/>
                <w:color w:val="auto"/>
              </w:rPr>
              <w:t>Payments related to contingent consideration</w:t>
            </w:r>
          </w:p>
        </w:tc>
        <w:tc>
          <w:tcPr>
            <w:tcW w:w="3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(487)</w:t>
            </w:r>
          </w:p>
        </w:tc>
        <w:tc>
          <w:tcPr>
            <w:tcW w:w="0" w:type="dxa"/>
            <w:vAlign w:val="bottom"/>
          </w:tcPr>
          <w:p>
            <w:pPr>
              <w:spacing w:after="0"/>
              <w:rPr>
                <w:sz w:val="1"/>
                <w:szCs w:val="1"/>
                <w:color w:val="auto"/>
              </w:rPr>
            </w:pPr>
          </w:p>
        </w:tc>
      </w:tr>
      <w:tr>
        <w:trPr>
          <w:trHeight w:val="234"/>
        </w:trPr>
        <w:tc>
          <w:tcPr>
            <w:tcW w:w="8200" w:type="dxa"/>
            <w:vAlign w:val="bottom"/>
            <w:shd w:val="clear" w:color="auto" w:fill="CCFFCC"/>
          </w:tcPr>
          <w:p>
            <w:pPr>
              <w:ind w:left="140"/>
              <w:spacing w:after="0"/>
              <w:rPr>
                <w:sz w:val="20"/>
                <w:szCs w:val="20"/>
                <w:color w:val="auto"/>
              </w:rPr>
            </w:pPr>
            <w:r>
              <w:rPr>
                <w:rFonts w:ascii="Arial" w:cs="Arial" w:eastAsia="Arial" w:hAnsi="Arial"/>
                <w:sz w:val="12"/>
                <w:szCs w:val="12"/>
                <w:color w:val="auto"/>
              </w:rPr>
              <w:t>Purchase of capped call option</w:t>
            </w:r>
          </w:p>
        </w:tc>
        <w:tc>
          <w:tcPr>
            <w:tcW w:w="3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(23,184)</w:t>
            </w:r>
          </w:p>
        </w:tc>
        <w:tc>
          <w:tcPr>
            <w:tcW w:w="0" w:type="dxa"/>
            <w:vAlign w:val="bottom"/>
          </w:tcPr>
          <w:p>
            <w:pPr>
              <w:spacing w:after="0"/>
              <w:rPr>
                <w:sz w:val="1"/>
                <w:szCs w:val="1"/>
                <w:color w:val="auto"/>
              </w:rPr>
            </w:pPr>
          </w:p>
        </w:tc>
      </w:tr>
      <w:tr>
        <w:trPr>
          <w:trHeight w:val="214"/>
        </w:trPr>
        <w:tc>
          <w:tcPr>
            <w:tcW w:w="8200" w:type="dxa"/>
            <w:vAlign w:val="bottom"/>
            <w:tcBorders>
              <w:bottom w:val="single" w:sz="8" w:color="CCFFCC"/>
            </w:tcBorders>
          </w:tcPr>
          <w:p>
            <w:pPr>
              <w:ind w:left="500"/>
              <w:spacing w:after="0"/>
              <w:rPr>
                <w:sz w:val="20"/>
                <w:szCs w:val="20"/>
                <w:color w:val="auto"/>
              </w:rPr>
            </w:pPr>
            <w:r>
              <w:rPr>
                <w:rFonts w:ascii="Arial" w:cs="Arial" w:eastAsia="Arial" w:hAnsi="Arial"/>
                <w:sz w:val="12"/>
                <w:szCs w:val="12"/>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9,123</w:t>
            </w:r>
          </w:p>
        </w:tc>
        <w:tc>
          <w:tcPr>
            <w:tcW w:w="12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208,986</w:t>
            </w:r>
          </w:p>
        </w:tc>
        <w:tc>
          <w:tcPr>
            <w:tcW w:w="0" w:type="dxa"/>
            <w:vAlign w:val="bottom"/>
          </w:tcPr>
          <w:p>
            <w:pPr>
              <w:spacing w:after="0"/>
              <w:rPr>
                <w:sz w:val="1"/>
                <w:szCs w:val="1"/>
                <w:color w:val="auto"/>
              </w:rPr>
            </w:pPr>
          </w:p>
        </w:tc>
      </w:tr>
      <w:tr>
        <w:trPr>
          <w:trHeight w:val="214"/>
        </w:trPr>
        <w:tc>
          <w:tcPr>
            <w:tcW w:w="8200" w:type="dxa"/>
            <w:vAlign w:val="bottom"/>
            <w:shd w:val="clear" w:color="auto" w:fill="CCFFCC"/>
          </w:tcPr>
          <w:p>
            <w:pPr>
              <w:ind w:left="20"/>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36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ind w:right="18"/>
              <w:spacing w:after="0"/>
              <w:rPr>
                <w:sz w:val="20"/>
                <w:szCs w:val="20"/>
                <w:color w:val="auto"/>
              </w:rPr>
            </w:pPr>
            <w:r>
              <w:rPr>
                <w:rFonts w:ascii="Arial" w:cs="Arial" w:eastAsia="Arial" w:hAnsi="Arial"/>
                <w:sz w:val="12"/>
                <w:szCs w:val="12"/>
                <w:color w:val="auto"/>
              </w:rPr>
              <w:t>(516)</w:t>
            </w:r>
          </w:p>
        </w:tc>
        <w:tc>
          <w:tcPr>
            <w:tcW w:w="12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214"/>
        </w:trPr>
        <w:tc>
          <w:tcPr>
            <w:tcW w:w="8200" w:type="dxa"/>
            <w:vAlign w:val="bottom"/>
          </w:tcPr>
          <w:p>
            <w:pPr>
              <w:ind w:left="20"/>
              <w:spacing w:after="0"/>
              <w:rPr>
                <w:sz w:val="20"/>
                <w:szCs w:val="20"/>
                <w:color w:val="auto"/>
              </w:rPr>
            </w:pPr>
            <w:r>
              <w:rPr>
                <w:rFonts w:ascii="Arial" w:cs="Arial" w:eastAsia="Arial" w:hAnsi="Arial"/>
                <w:sz w:val="12"/>
                <w:szCs w:val="12"/>
                <w:color w:val="auto"/>
              </w:rPr>
              <w:t>CHANGE IN CASH AND CASH EQUIVALENTS</w:t>
            </w:r>
          </w:p>
        </w:tc>
        <w:tc>
          <w:tcPr>
            <w:tcW w:w="360" w:type="dxa"/>
            <w:vAlign w:val="bottom"/>
          </w:tcPr>
          <w:p>
            <w:pPr>
              <w:spacing w:after="0"/>
              <w:rPr>
                <w:sz w:val="18"/>
                <w:szCs w:val="18"/>
                <w:color w:val="auto"/>
              </w:rPr>
            </w:pPr>
          </w:p>
        </w:tc>
        <w:tc>
          <w:tcPr>
            <w:tcW w:w="1120" w:type="dxa"/>
            <w:vAlign w:val="bottom"/>
          </w:tcPr>
          <w:p>
            <w:pPr>
              <w:jc w:val="right"/>
              <w:ind w:right="18"/>
              <w:spacing w:after="0"/>
              <w:rPr>
                <w:sz w:val="20"/>
                <w:szCs w:val="20"/>
                <w:color w:val="auto"/>
              </w:rPr>
            </w:pPr>
            <w:r>
              <w:rPr>
                <w:rFonts w:ascii="Arial" w:cs="Arial" w:eastAsia="Arial" w:hAnsi="Arial"/>
                <w:sz w:val="12"/>
                <w:szCs w:val="12"/>
                <w:color w:val="auto"/>
              </w:rPr>
              <w:t>(3,346)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Arial" w:cs="Arial" w:eastAsia="Arial" w:hAnsi="Arial"/>
                <w:sz w:val="12"/>
                <w:szCs w:val="12"/>
                <w:color w:val="auto"/>
              </w:rPr>
              <w:t>158,278</w:t>
            </w:r>
          </w:p>
        </w:tc>
        <w:tc>
          <w:tcPr>
            <w:tcW w:w="0" w:type="dxa"/>
            <w:vAlign w:val="bottom"/>
          </w:tcPr>
          <w:p>
            <w:pPr>
              <w:spacing w:after="0"/>
              <w:rPr>
                <w:sz w:val="1"/>
                <w:szCs w:val="1"/>
                <w:color w:val="auto"/>
              </w:rPr>
            </w:pPr>
          </w:p>
        </w:tc>
      </w:tr>
      <w:tr>
        <w:trPr>
          <w:trHeight w:val="234"/>
        </w:trPr>
        <w:tc>
          <w:tcPr>
            <w:tcW w:w="8200" w:type="dxa"/>
            <w:vAlign w:val="bottom"/>
            <w:shd w:val="clear" w:color="auto" w:fill="CCFFCC"/>
          </w:tcPr>
          <w:p>
            <w:pPr>
              <w:ind w:left="20"/>
              <w:spacing w:after="0"/>
              <w:rPr>
                <w:sz w:val="20"/>
                <w:szCs w:val="20"/>
                <w:color w:val="auto"/>
              </w:rPr>
            </w:pPr>
            <w:r>
              <w:rPr>
                <w:rFonts w:ascii="Arial" w:cs="Arial" w:eastAsia="Arial" w:hAnsi="Arial"/>
                <w:sz w:val="12"/>
                <w:szCs w:val="12"/>
                <w:color w:val="auto"/>
              </w:rPr>
              <w:t>CASH AND CASH EQUIVALENTS - Beginning of the period</w:t>
            </w:r>
          </w:p>
        </w:tc>
        <w:tc>
          <w:tcPr>
            <w:tcW w:w="360" w:type="dxa"/>
            <w:vAlign w:val="bottom"/>
            <w:tcBorders>
              <w:bottom w:val="single" w:sz="8" w:color="auto"/>
            </w:tcBorders>
            <w:shd w:val="clear" w:color="auto" w:fill="CCFFCC"/>
          </w:tcPr>
          <w:p>
            <w:pPr>
              <w:spacing w:after="0"/>
              <w:rPr>
                <w:sz w:val="20"/>
                <w:szCs w:val="20"/>
                <w:color w:val="auto"/>
              </w:rPr>
            </w:pPr>
          </w:p>
        </w:tc>
        <w:tc>
          <w:tcPr>
            <w:tcW w:w="1120" w:type="dxa"/>
            <w:vAlign w:val="bottom"/>
            <w:tcBorders>
              <w:bottom w:val="single" w:sz="8" w:color="auto"/>
            </w:tcBorders>
            <w:shd w:val="clear" w:color="auto" w:fill="CCFFCC"/>
          </w:tcPr>
          <w:p>
            <w:pPr>
              <w:jc w:val="right"/>
              <w:ind w:right="58"/>
              <w:spacing w:after="0"/>
              <w:rPr>
                <w:sz w:val="20"/>
                <w:szCs w:val="20"/>
                <w:color w:val="auto"/>
              </w:rPr>
            </w:pPr>
            <w:r>
              <w:rPr>
                <w:rFonts w:ascii="Arial" w:cs="Arial" w:eastAsia="Arial" w:hAnsi="Arial"/>
                <w:sz w:val="12"/>
                <w:szCs w:val="12"/>
                <w:color w:val="auto"/>
              </w:rPr>
              <w:t>176,523</w:t>
            </w:r>
          </w:p>
        </w:tc>
        <w:tc>
          <w:tcPr>
            <w:tcW w:w="120" w:type="dxa"/>
            <w:vAlign w:val="bottom"/>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spacing w:after="0"/>
              <w:rPr>
                <w:sz w:val="20"/>
                <w:szCs w:val="20"/>
                <w:color w:val="auto"/>
              </w:rPr>
            </w:pPr>
          </w:p>
        </w:tc>
        <w:tc>
          <w:tcPr>
            <w:tcW w:w="1100" w:type="dxa"/>
            <w:vAlign w:val="bottom"/>
            <w:tcBorders>
              <w:bottom w:val="single" w:sz="8" w:color="auto"/>
            </w:tcBorders>
            <w:shd w:val="clear" w:color="auto" w:fill="CCFFCC"/>
          </w:tcPr>
          <w:p>
            <w:pPr>
              <w:jc w:val="right"/>
              <w:ind w:right="38"/>
              <w:spacing w:after="0"/>
              <w:rPr>
                <w:sz w:val="20"/>
                <w:szCs w:val="20"/>
                <w:color w:val="auto"/>
              </w:rPr>
            </w:pPr>
            <w:r>
              <w:rPr>
                <w:rFonts w:ascii="Arial" w:cs="Arial" w:eastAsia="Arial" w:hAnsi="Arial"/>
                <w:sz w:val="12"/>
                <w:szCs w:val="12"/>
                <w:color w:val="auto"/>
              </w:rPr>
              <w:t>66,449</w:t>
            </w:r>
          </w:p>
        </w:tc>
        <w:tc>
          <w:tcPr>
            <w:tcW w:w="0" w:type="dxa"/>
            <w:vAlign w:val="bottom"/>
          </w:tcPr>
          <w:p>
            <w:pPr>
              <w:spacing w:after="0"/>
              <w:rPr>
                <w:sz w:val="1"/>
                <w:szCs w:val="1"/>
                <w:color w:val="auto"/>
              </w:rPr>
            </w:pPr>
          </w:p>
        </w:tc>
      </w:tr>
      <w:tr>
        <w:trPr>
          <w:trHeight w:val="247"/>
        </w:trPr>
        <w:tc>
          <w:tcPr>
            <w:tcW w:w="8200" w:type="dxa"/>
            <w:vAlign w:val="bottom"/>
            <w:tcBorders>
              <w:bottom w:val="single" w:sz="8" w:color="CCFFCC"/>
            </w:tcBorders>
          </w:tcPr>
          <w:p>
            <w:pPr>
              <w:ind w:left="20"/>
              <w:spacing w:after="0"/>
              <w:rPr>
                <w:sz w:val="20"/>
                <w:szCs w:val="20"/>
                <w:color w:val="auto"/>
              </w:rPr>
            </w:pPr>
            <w:r>
              <w:rPr>
                <w:rFonts w:ascii="Arial" w:cs="Arial" w:eastAsia="Arial" w:hAnsi="Arial"/>
                <w:sz w:val="12"/>
                <w:szCs w:val="12"/>
                <w:color w:val="auto"/>
              </w:rPr>
              <w:t>CASH AND CASH EQUIVALENTS - End of the period</w:t>
            </w:r>
          </w:p>
        </w:tc>
        <w:tc>
          <w:tcPr>
            <w:tcW w:w="3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173,177</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224,727</w:t>
            </w:r>
          </w:p>
        </w:tc>
        <w:tc>
          <w:tcPr>
            <w:tcW w:w="0" w:type="dxa"/>
            <w:vAlign w:val="bottom"/>
          </w:tcPr>
          <w:p>
            <w:pPr>
              <w:spacing w:after="0"/>
              <w:rPr>
                <w:sz w:val="1"/>
                <w:szCs w:val="1"/>
                <w:color w:val="auto"/>
              </w:rPr>
            </w:pPr>
          </w:p>
        </w:tc>
      </w:tr>
      <w:tr>
        <w:trPr>
          <w:trHeight w:val="220"/>
        </w:trPr>
        <w:tc>
          <w:tcPr>
            <w:tcW w:w="820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00" w:type="dxa"/>
            <w:vAlign w:val="bottom"/>
          </w:tcPr>
          <w:p>
            <w:pPr>
              <w:ind w:left="20"/>
              <w:spacing w:after="0"/>
              <w:rPr>
                <w:sz w:val="20"/>
                <w:szCs w:val="20"/>
                <w:color w:val="auto"/>
              </w:rPr>
            </w:pPr>
            <w:r>
              <w:rPr>
                <w:rFonts w:ascii="Arial" w:cs="Arial" w:eastAsia="Arial" w:hAnsi="Arial"/>
                <w:sz w:val="12"/>
                <w:szCs w:val="12"/>
                <w:color w:val="auto"/>
              </w:rPr>
              <w:t>SUPPLEMENTAL DISCLOSURE OF OTHER CASH FLOW INFORMATION: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0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2"/>
                <w:szCs w:val="12"/>
                <w:color w:val="auto"/>
              </w:rPr>
              <w:t>Cash paid for income taxes</w:t>
            </w:r>
          </w:p>
        </w:tc>
        <w:tc>
          <w:tcPr>
            <w:tcW w:w="360" w:type="dxa"/>
            <w:vAlign w:val="bottom"/>
            <w:tcBorders>
              <w:bottom w:val="single" w:sz="8" w:color="auto"/>
            </w:tcBorders>
            <w:shd w:val="clear" w:color="auto" w:fill="CCFFCC"/>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FFCC"/>
          </w:tcPr>
          <w:p>
            <w:pPr>
              <w:jc w:val="right"/>
              <w:ind w:right="58"/>
              <w:spacing w:after="0"/>
              <w:rPr>
                <w:sz w:val="20"/>
                <w:szCs w:val="20"/>
                <w:color w:val="auto"/>
              </w:rPr>
            </w:pPr>
            <w:r>
              <w:rPr>
                <w:rFonts w:ascii="Arial" w:cs="Arial" w:eastAsia="Arial" w:hAnsi="Arial"/>
                <w:sz w:val="12"/>
                <w:szCs w:val="12"/>
                <w:color w:val="auto"/>
              </w:rPr>
              <w:t>3,124</w:t>
            </w:r>
          </w:p>
        </w:tc>
        <w:tc>
          <w:tcPr>
            <w:tcW w:w="12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jc w:val="right"/>
              <w:ind w:right="19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FFCC"/>
          </w:tcPr>
          <w:p>
            <w:pPr>
              <w:jc w:val="right"/>
              <w:ind w:right="38"/>
              <w:spacing w:after="0"/>
              <w:rPr>
                <w:sz w:val="20"/>
                <w:szCs w:val="20"/>
                <w:color w:val="auto"/>
              </w:rPr>
            </w:pPr>
            <w:r>
              <w:rPr>
                <w:rFonts w:ascii="Arial" w:cs="Arial" w:eastAsia="Arial" w:hAnsi="Arial"/>
                <w:sz w:val="12"/>
                <w:szCs w:val="12"/>
                <w:color w:val="auto"/>
              </w:rPr>
              <w:t>1,606</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4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LIVEPERSON,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shd w:val="clear" w:color="auto" w:fill="CCFFCC"/>
          </w:tcPr>
          <w:p>
            <w:pPr>
              <w:ind w:left="20"/>
              <w:spacing w:after="0"/>
              <w:rPr>
                <w:sz w:val="20"/>
                <w:szCs w:val="20"/>
                <w:color w:val="auto"/>
              </w:rPr>
            </w:pPr>
            <w:r>
              <w:rPr>
                <w:rFonts w:ascii="Arial" w:cs="Arial" w:eastAsia="Arial" w:hAnsi="Arial"/>
                <w:sz w:val="12"/>
                <w:szCs w:val="12"/>
                <w:color w:val="auto"/>
              </w:rPr>
              <w:t>SUPPLEMENTAL DISCLOSURE OF NON-CASH INVESTING AND FINANCING ACTIVITIES:</w:t>
            </w:r>
          </w:p>
        </w:tc>
        <w:tc>
          <w:tcPr>
            <w:tcW w:w="20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60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140"/>
              <w:spacing w:after="0"/>
              <w:rPr>
                <w:sz w:val="20"/>
                <w:szCs w:val="20"/>
                <w:color w:val="auto"/>
              </w:rPr>
            </w:pPr>
            <w:r>
              <w:rPr>
                <w:rFonts w:ascii="Arial" w:cs="Arial" w:eastAsia="Arial" w:hAnsi="Arial"/>
                <w:sz w:val="12"/>
                <w:szCs w:val="12"/>
                <w:color w:val="auto"/>
              </w:rPr>
              <w:t>Purchase of property and equipment recorded in accounts payable</w:t>
            </w:r>
          </w:p>
        </w:tc>
        <w:tc>
          <w:tcPr>
            <w:tcW w:w="2040" w:type="dxa"/>
            <w:vAlign w:val="bottom"/>
          </w:tcPr>
          <w:p>
            <w:pPr>
              <w:jc w:val="right"/>
              <w:ind w:right="39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98"/>
              <w:spacing w:after="0"/>
              <w:rPr>
                <w:sz w:val="20"/>
                <w:szCs w:val="20"/>
                <w:color w:val="auto"/>
              </w:rPr>
            </w:pPr>
            <w:r>
              <w:rPr>
                <w:rFonts w:ascii="Arial" w:cs="Arial" w:eastAsia="Arial" w:hAnsi="Arial"/>
                <w:sz w:val="12"/>
                <w:szCs w:val="12"/>
                <w:color w:val="auto"/>
              </w:rPr>
              <w:t>1,198</w:t>
            </w:r>
          </w:p>
        </w:tc>
        <w:tc>
          <w:tcPr>
            <w:tcW w:w="6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861</w:t>
            </w:r>
          </w:p>
        </w:tc>
        <w:tc>
          <w:tcPr>
            <w:tcW w:w="0" w:type="dxa"/>
            <w:vAlign w:val="bottom"/>
          </w:tcPr>
          <w:p>
            <w:pPr>
              <w:spacing w:after="0"/>
              <w:rPr>
                <w:sz w:val="1"/>
                <w:szCs w:val="1"/>
                <w:color w:val="auto"/>
              </w:rPr>
            </w:pPr>
          </w:p>
        </w:tc>
      </w:tr>
      <w:tr>
        <w:trPr>
          <w:trHeight w:val="170"/>
        </w:trPr>
        <w:tc>
          <w:tcPr>
            <w:tcW w:w="6720" w:type="dxa"/>
            <w:vAlign w:val="bottom"/>
            <w:shd w:val="clear" w:color="auto" w:fill="CCFFCC"/>
          </w:tcPr>
          <w:p>
            <w:pPr>
              <w:ind w:left="140"/>
              <w:spacing w:after="0"/>
              <w:rPr>
                <w:sz w:val="20"/>
                <w:szCs w:val="20"/>
                <w:color w:val="auto"/>
              </w:rPr>
            </w:pPr>
            <w:r>
              <w:rPr>
                <w:rFonts w:ascii="Arial" w:cs="Arial" w:eastAsia="Arial" w:hAnsi="Arial"/>
                <w:sz w:val="12"/>
                <w:szCs w:val="12"/>
                <w:color w:val="auto"/>
              </w:rPr>
              <w:t>Issuance of 11,508 shares of common stock as earnout payment in connection with AdvantageTec Inc.</w:t>
            </w:r>
          </w:p>
        </w:tc>
        <w:tc>
          <w:tcPr>
            <w:tcW w:w="2040" w:type="dxa"/>
            <w:vAlign w:val="bottom"/>
            <w:vMerge w:val="restart"/>
            <w:shd w:val="clear" w:color="auto" w:fill="CCFFCC"/>
          </w:tcPr>
          <w:p>
            <w:pPr>
              <w:jc w:val="right"/>
              <w:ind w:right="398"/>
              <w:spacing w:after="0"/>
              <w:rPr>
                <w:sz w:val="20"/>
                <w:szCs w:val="20"/>
                <w:color w:val="auto"/>
              </w:rPr>
            </w:pPr>
            <w:r>
              <w:rPr>
                <w:rFonts w:ascii="Arial" w:cs="Arial" w:eastAsia="Arial" w:hAnsi="Arial"/>
                <w:sz w:val="12"/>
                <w:szCs w:val="12"/>
                <w:color w:val="auto"/>
              </w:rPr>
              <w:t>$</w:t>
            </w:r>
          </w:p>
        </w:tc>
        <w:tc>
          <w:tcPr>
            <w:tcW w:w="960" w:type="dxa"/>
            <w:vAlign w:val="bottom"/>
            <w:vMerge w:val="restart"/>
            <w:shd w:val="clear" w:color="auto" w:fill="CCFFCC"/>
          </w:tcPr>
          <w:p>
            <w:pPr>
              <w:jc w:val="right"/>
              <w:ind w:right="98"/>
              <w:spacing w:after="0"/>
              <w:rPr>
                <w:sz w:val="20"/>
                <w:szCs w:val="20"/>
                <w:color w:val="auto"/>
              </w:rPr>
            </w:pPr>
            <w:r>
              <w:rPr>
                <w:rFonts w:ascii="Arial" w:cs="Arial" w:eastAsia="Arial" w:hAnsi="Arial"/>
                <w:sz w:val="12"/>
                <w:szCs w:val="12"/>
                <w:color w:val="auto"/>
              </w:rPr>
              <w:t>294</w:t>
            </w:r>
          </w:p>
        </w:tc>
        <w:tc>
          <w:tcPr>
            <w:tcW w:w="600" w:type="dxa"/>
            <w:vAlign w:val="bottom"/>
            <w:vMerge w:val="restart"/>
            <w:shd w:val="clear" w:color="auto" w:fill="CCFFCC"/>
          </w:tcPr>
          <w:p>
            <w:pPr>
              <w:jc w:val="right"/>
              <w:ind w:right="378"/>
              <w:spacing w:after="0"/>
              <w:rPr>
                <w:sz w:val="20"/>
                <w:szCs w:val="20"/>
                <w:color w:val="auto"/>
              </w:rPr>
            </w:pPr>
            <w:r>
              <w:rPr>
                <w:rFonts w:ascii="Arial" w:cs="Arial" w:eastAsia="Arial" w:hAnsi="Arial"/>
                <w:sz w:val="12"/>
                <w:szCs w:val="12"/>
                <w:color w:val="auto"/>
              </w:rPr>
              <w:t>$</w:t>
            </w:r>
          </w:p>
        </w:tc>
        <w:tc>
          <w:tcPr>
            <w:tcW w:w="920" w:type="dxa"/>
            <w:vAlign w:val="bottom"/>
            <w:vMerge w:val="restart"/>
            <w:shd w:val="clear" w:color="auto" w:fill="CCFFCC"/>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6720" w:type="dxa"/>
            <w:vAlign w:val="bottom"/>
            <w:shd w:val="clear" w:color="auto" w:fill="CCFFCC"/>
          </w:tcPr>
          <w:p>
            <w:pPr>
              <w:spacing w:after="0"/>
              <w:rPr>
                <w:sz w:val="12"/>
                <w:szCs w:val="12"/>
                <w:color w:val="auto"/>
              </w:rPr>
            </w:pPr>
          </w:p>
        </w:tc>
        <w:tc>
          <w:tcPr>
            <w:tcW w:w="2040" w:type="dxa"/>
            <w:vAlign w:val="bottom"/>
            <w:vMerge w:val="continue"/>
            <w:shd w:val="clear" w:color="auto" w:fill="CCFFCC"/>
          </w:tcPr>
          <w:p>
            <w:pPr>
              <w:spacing w:after="0"/>
              <w:rPr>
                <w:sz w:val="12"/>
                <w:szCs w:val="12"/>
                <w:color w:val="auto"/>
              </w:rPr>
            </w:pPr>
          </w:p>
        </w:tc>
        <w:tc>
          <w:tcPr>
            <w:tcW w:w="960" w:type="dxa"/>
            <w:vAlign w:val="bottom"/>
            <w:vMerge w:val="continue"/>
            <w:shd w:val="clear" w:color="auto" w:fill="CCFFCC"/>
          </w:tcPr>
          <w:p>
            <w:pPr>
              <w:spacing w:after="0"/>
              <w:rPr>
                <w:sz w:val="12"/>
                <w:szCs w:val="12"/>
                <w:color w:val="auto"/>
              </w:rPr>
            </w:pPr>
          </w:p>
        </w:tc>
        <w:tc>
          <w:tcPr>
            <w:tcW w:w="600" w:type="dxa"/>
            <w:vAlign w:val="bottom"/>
            <w:vMerge w:val="continue"/>
            <w:shd w:val="clear" w:color="auto" w:fill="CCFFCC"/>
          </w:tcPr>
          <w:p>
            <w:pPr>
              <w:spacing w:after="0"/>
              <w:rPr>
                <w:sz w:val="12"/>
                <w:szCs w:val="12"/>
                <w:color w:val="auto"/>
              </w:rPr>
            </w:pPr>
          </w:p>
        </w:tc>
        <w:tc>
          <w:tcPr>
            <w:tcW w:w="920" w:type="dxa"/>
            <w:vAlign w:val="bottom"/>
            <w:vMerge w:val="continue"/>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140"/>
              <w:spacing w:after="0"/>
              <w:rPr>
                <w:sz w:val="20"/>
                <w:szCs w:val="20"/>
                <w:color w:val="auto"/>
              </w:rPr>
            </w:pPr>
            <w:r>
              <w:rPr>
                <w:rFonts w:ascii="Arial" w:cs="Arial" w:eastAsia="Arial" w:hAnsi="Arial"/>
                <w:sz w:val="12"/>
                <w:szCs w:val="12"/>
                <w:color w:val="auto"/>
              </w:rPr>
              <w:t>Issuance of 991,905 shares of common stock to settle cash awards</w:t>
            </w:r>
          </w:p>
        </w:tc>
        <w:tc>
          <w:tcPr>
            <w:tcW w:w="2040" w:type="dxa"/>
            <w:vAlign w:val="bottom"/>
          </w:tcPr>
          <w:p>
            <w:pPr>
              <w:jc w:val="right"/>
              <w:ind w:right="39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98"/>
              <w:spacing w:after="0"/>
              <w:rPr>
                <w:sz w:val="20"/>
                <w:szCs w:val="20"/>
                <w:color w:val="auto"/>
              </w:rPr>
            </w:pPr>
            <w:r>
              <w:rPr>
                <w:rFonts w:ascii="Arial" w:cs="Arial" w:eastAsia="Arial" w:hAnsi="Arial"/>
                <w:sz w:val="12"/>
                <w:szCs w:val="12"/>
                <w:color w:val="auto"/>
              </w:rPr>
              <w:t>24,656</w:t>
            </w:r>
          </w:p>
        </w:tc>
        <w:tc>
          <w:tcPr>
            <w:tcW w:w="6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9"/>
        </w:trPr>
        <w:tc>
          <w:tcPr>
            <w:tcW w:w="6720" w:type="dxa"/>
            <w:vAlign w:val="bottom"/>
            <w:shd w:val="clear" w:color="auto" w:fill="CCFFCC"/>
          </w:tcPr>
          <w:p>
            <w:pPr>
              <w:ind w:left="140"/>
              <w:spacing w:after="0"/>
              <w:rPr>
                <w:sz w:val="20"/>
                <w:szCs w:val="20"/>
                <w:color w:val="auto"/>
              </w:rPr>
            </w:pPr>
            <w:r>
              <w:rPr>
                <w:rFonts w:ascii="Arial" w:cs="Arial" w:eastAsia="Arial" w:hAnsi="Arial"/>
                <w:sz w:val="12"/>
                <w:szCs w:val="12"/>
                <w:color w:val="auto"/>
              </w:rPr>
              <w:t xml:space="preserve">Operating lease right of use asset </w:t>
            </w:r>
            <w:r>
              <w:rPr>
                <w:rFonts w:ascii="Arial" w:cs="Arial" w:eastAsia="Arial" w:hAnsi="Arial"/>
                <w:sz w:val="7"/>
                <w:szCs w:val="7"/>
                <w:color w:val="auto"/>
              </w:rPr>
              <w:t>(1)</w:t>
            </w:r>
          </w:p>
        </w:tc>
        <w:tc>
          <w:tcPr>
            <w:tcW w:w="2040" w:type="dxa"/>
            <w:vAlign w:val="bottom"/>
            <w:shd w:val="clear" w:color="auto" w:fill="CCFFCC"/>
          </w:tcPr>
          <w:p>
            <w:pPr>
              <w:jc w:val="right"/>
              <w:ind w:right="398"/>
              <w:spacing w:after="0"/>
              <w:rPr>
                <w:sz w:val="20"/>
                <w:szCs w:val="20"/>
                <w:color w:val="auto"/>
              </w:rPr>
            </w:pPr>
            <w:r>
              <w:rPr>
                <w:rFonts w:ascii="Arial" w:cs="Arial" w:eastAsia="Arial" w:hAnsi="Arial"/>
                <w:sz w:val="12"/>
                <w:szCs w:val="12"/>
                <w:color w:val="auto"/>
              </w:rPr>
              <w:t>$</w:t>
            </w:r>
          </w:p>
        </w:tc>
        <w:tc>
          <w:tcPr>
            <w:tcW w:w="96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(1,050)</w:t>
            </w:r>
          </w:p>
        </w:tc>
        <w:tc>
          <w:tcPr>
            <w:tcW w:w="600" w:type="dxa"/>
            <w:vAlign w:val="bottom"/>
            <w:shd w:val="clear" w:color="auto" w:fill="CCFFCC"/>
          </w:tcPr>
          <w:p>
            <w:pPr>
              <w:jc w:val="right"/>
              <w:ind w:right="378"/>
              <w:spacing w:after="0"/>
              <w:rPr>
                <w:sz w:val="20"/>
                <w:szCs w:val="20"/>
                <w:color w:val="auto"/>
              </w:rPr>
            </w:pPr>
            <w:r>
              <w:rPr>
                <w:rFonts w:ascii="Arial" w:cs="Arial" w:eastAsia="Arial" w:hAnsi="Arial"/>
                <w:sz w:val="12"/>
                <w:szCs w:val="12"/>
                <w:color w:val="auto"/>
              </w:rPr>
              <w:t>$</w:t>
            </w:r>
          </w:p>
        </w:tc>
        <w:tc>
          <w:tcPr>
            <w:tcW w:w="92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12,807</w:t>
            </w:r>
          </w:p>
        </w:tc>
        <w:tc>
          <w:tcPr>
            <w:tcW w:w="0" w:type="dxa"/>
            <w:vAlign w:val="bottom"/>
          </w:tcPr>
          <w:p>
            <w:pPr>
              <w:spacing w:after="0"/>
              <w:rPr>
                <w:sz w:val="1"/>
                <w:szCs w:val="1"/>
                <w:color w:val="auto"/>
              </w:rPr>
            </w:pPr>
          </w:p>
        </w:tc>
      </w:tr>
      <w:tr>
        <w:trPr>
          <w:trHeight w:val="228"/>
        </w:trPr>
        <w:tc>
          <w:tcPr>
            <w:tcW w:w="6720" w:type="dxa"/>
            <w:vAlign w:val="bottom"/>
          </w:tcPr>
          <w:p>
            <w:pPr>
              <w:ind w:left="140"/>
              <w:spacing w:after="0"/>
              <w:rPr>
                <w:sz w:val="20"/>
                <w:szCs w:val="20"/>
                <w:color w:val="auto"/>
              </w:rPr>
            </w:pPr>
            <w:r>
              <w:rPr>
                <w:rFonts w:ascii="Arial" w:cs="Arial" w:eastAsia="Arial" w:hAnsi="Arial"/>
                <w:sz w:val="12"/>
                <w:szCs w:val="12"/>
                <w:color w:val="auto"/>
              </w:rPr>
              <w:t>Operating lease liabilities- short-term and long term</w:t>
            </w:r>
          </w:p>
        </w:tc>
        <w:tc>
          <w:tcPr>
            <w:tcW w:w="2040" w:type="dxa"/>
            <w:vAlign w:val="bottom"/>
          </w:tcPr>
          <w:p>
            <w:pPr>
              <w:jc w:val="right"/>
              <w:ind w:right="39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(2,561)</w:t>
            </w:r>
          </w:p>
        </w:tc>
        <w:tc>
          <w:tcPr>
            <w:tcW w:w="60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(16,782)</w:t>
            </w:r>
          </w:p>
        </w:tc>
        <w:tc>
          <w:tcPr>
            <w:tcW w:w="0" w:type="dxa"/>
            <w:vAlign w:val="bottom"/>
          </w:tcPr>
          <w:p>
            <w:pPr>
              <w:spacing w:after="0"/>
              <w:rPr>
                <w:sz w:val="1"/>
                <w:szCs w:val="1"/>
                <w:color w:val="auto"/>
              </w:rPr>
            </w:pPr>
          </w:p>
        </w:tc>
      </w:tr>
      <w:tr>
        <w:trPr>
          <w:trHeight w:val="239"/>
        </w:trPr>
        <w:tc>
          <w:tcPr>
            <w:tcW w:w="6720" w:type="dxa"/>
            <w:vAlign w:val="bottom"/>
            <w:shd w:val="clear" w:color="auto" w:fill="CCFFCC"/>
          </w:tcPr>
          <w:p>
            <w:pPr>
              <w:ind w:left="140"/>
              <w:spacing w:after="0"/>
              <w:rPr>
                <w:sz w:val="20"/>
                <w:szCs w:val="20"/>
                <w:color w:val="auto"/>
              </w:rPr>
            </w:pPr>
            <w:r>
              <w:rPr>
                <w:rFonts w:ascii="Arial" w:cs="Arial" w:eastAsia="Arial" w:hAnsi="Arial"/>
                <w:sz w:val="12"/>
                <w:szCs w:val="12"/>
                <w:color w:val="auto"/>
              </w:rPr>
              <w:t>Debt offering costs, accrued but not paid</w:t>
            </w:r>
          </w:p>
        </w:tc>
        <w:tc>
          <w:tcPr>
            <w:tcW w:w="2040" w:type="dxa"/>
            <w:vAlign w:val="bottom"/>
            <w:shd w:val="clear" w:color="auto" w:fill="CCFFCC"/>
          </w:tcPr>
          <w:p>
            <w:pPr>
              <w:jc w:val="right"/>
              <w:ind w:right="398"/>
              <w:spacing w:after="0"/>
              <w:rPr>
                <w:sz w:val="20"/>
                <w:szCs w:val="20"/>
                <w:color w:val="auto"/>
              </w:rPr>
            </w:pPr>
            <w:r>
              <w:rPr>
                <w:rFonts w:ascii="Arial" w:cs="Arial" w:eastAsia="Arial" w:hAnsi="Arial"/>
                <w:sz w:val="12"/>
                <w:szCs w:val="12"/>
                <w:color w:val="auto"/>
              </w:rPr>
              <w:t>$</w:t>
            </w:r>
          </w:p>
        </w:tc>
        <w:tc>
          <w:tcPr>
            <w:tcW w:w="960" w:type="dxa"/>
            <w:vAlign w:val="bottom"/>
            <w:shd w:val="clear" w:color="auto" w:fill="CCFFCC"/>
          </w:tcPr>
          <w:p>
            <w:pPr>
              <w:jc w:val="right"/>
              <w:ind w:right="98"/>
              <w:spacing w:after="0"/>
              <w:rPr>
                <w:sz w:val="20"/>
                <w:szCs w:val="20"/>
                <w:color w:val="auto"/>
              </w:rPr>
            </w:pPr>
            <w:r>
              <w:rPr>
                <w:rFonts w:ascii="Arial" w:cs="Arial" w:eastAsia="Arial" w:hAnsi="Arial"/>
                <w:sz w:val="12"/>
                <w:szCs w:val="12"/>
                <w:color w:val="auto"/>
              </w:rPr>
              <w:t>—</w:t>
            </w:r>
          </w:p>
        </w:tc>
        <w:tc>
          <w:tcPr>
            <w:tcW w:w="600" w:type="dxa"/>
            <w:vAlign w:val="bottom"/>
            <w:shd w:val="clear" w:color="auto" w:fill="CCFFCC"/>
          </w:tcPr>
          <w:p>
            <w:pPr>
              <w:jc w:val="right"/>
              <w:ind w:right="378"/>
              <w:spacing w:after="0"/>
              <w:rPr>
                <w:sz w:val="20"/>
                <w:szCs w:val="20"/>
                <w:color w:val="auto"/>
              </w:rPr>
            </w:pPr>
            <w:r>
              <w:rPr>
                <w:rFonts w:ascii="Arial" w:cs="Arial" w:eastAsia="Arial" w:hAnsi="Arial"/>
                <w:sz w:val="12"/>
                <w:szCs w:val="12"/>
                <w:color w:val="auto"/>
              </w:rPr>
              <w:t>$</w:t>
            </w:r>
          </w:p>
        </w:tc>
        <w:tc>
          <w:tcPr>
            <w:tcW w:w="92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1,048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7143115" cy="193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193040"/>
                    </a:xfrm>
                    <a:prstGeom prst="rect">
                      <a:avLst/>
                    </a:prstGeom>
                    <a:noFill/>
                  </pic:spPr>
                </pic:pic>
              </a:graphicData>
            </a:graphic>
          </wp:anchor>
        </w:drawing>
      </w:r>
    </w:p>
    <w:p>
      <w:pPr>
        <w:spacing w:after="0" w:line="233" w:lineRule="exact"/>
        <w:rPr>
          <w:sz w:val="20"/>
          <w:szCs w:val="20"/>
          <w:color w:val="auto"/>
        </w:rPr>
      </w:pPr>
    </w:p>
    <w:p>
      <w:pPr>
        <w:ind w:left="140" w:right="3140" w:hanging="6"/>
        <w:spacing w:after="0" w:line="256" w:lineRule="auto"/>
        <w:tabs>
          <w:tab w:leader="none" w:pos="316"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Includes leases that commenced during the year ended December 31, 2019, as well as balances related to leases in existence as of the date of the adoption of Topic 842.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660" w:right="339" w:bottom="1440" w:gutter="0" w:footer="0" w:header="0"/>
        </w:sectPr>
      </w:pPr>
    </w:p>
    <w:bookmarkStart w:id="11" w:name="page12"/>
    <w:bookmarkEnd w:id="11"/>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7" w:hanging="287"/>
        <w:spacing w:after="0"/>
        <w:tabs>
          <w:tab w:leader="none" w:pos="28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Business and Basis of Presentation</w:t>
      </w:r>
    </w:p>
    <w:p>
      <w:pPr>
        <w:spacing w:after="0" w:line="194" w:lineRule="exact"/>
        <w:rPr>
          <w:sz w:val="20"/>
          <w:szCs w:val="20"/>
          <w:color w:val="auto"/>
        </w:rPr>
      </w:pPr>
    </w:p>
    <w:p>
      <w:pPr>
        <w:jc w:val="both"/>
        <w:ind w:left="7" w:firstLine="561"/>
        <w:spacing w:after="0" w:line="286" w:lineRule="auto"/>
        <w:rPr>
          <w:sz w:val="20"/>
          <w:szCs w:val="20"/>
          <w:color w:val="auto"/>
        </w:rPr>
      </w:pPr>
      <w:r>
        <w:rPr>
          <w:rFonts w:ascii="Arial" w:cs="Arial" w:eastAsia="Arial" w:hAnsi="Arial"/>
          <w:sz w:val="14"/>
          <w:szCs w:val="14"/>
          <w:color w:val="auto"/>
        </w:rPr>
        <w:t>LivePerson, Inc. (the “Company” or “LivePerson”) makes life easier for people and brands everywhere through messaging powered by AI and humans. During the past decade, the consumers have made the mobile device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social and brick and mortar engagements. For example, consumers can look up product info like ratings, images and pricing, search for stores, see product inventory, schedule appointments, apply for credit, approve repairs, make purchases or payments - all without ever leaving the messaging channel. These AI and human-assisted conversational experiences constitute the Conversational Space.</w:t>
      </w:r>
    </w:p>
    <w:p>
      <w:pPr>
        <w:spacing w:after="0" w:line="54" w:lineRule="exact"/>
        <w:rPr>
          <w:sz w:val="20"/>
          <w:szCs w:val="20"/>
          <w:color w:val="auto"/>
        </w:rPr>
      </w:pPr>
    </w:p>
    <w:p>
      <w:pPr>
        <w:jc w:val="both"/>
        <w:ind w:left="7" w:firstLine="561"/>
        <w:spacing w:after="0" w:line="289" w:lineRule="auto"/>
        <w:rPr>
          <w:sz w:val="20"/>
          <w:szCs w:val="20"/>
          <w:color w:val="auto"/>
        </w:rPr>
      </w:pPr>
      <w:r>
        <w:rPr>
          <w:rFonts w:ascii="Arial" w:cs="Arial" w:eastAsia="Arial" w:hAnsi="Arial"/>
          <w:sz w:val="14"/>
          <w:szCs w:val="14"/>
          <w:color w:val="auto"/>
        </w:rPr>
        <w:t>LiveEngage, the Company’s enterprise-class cloud-based platform, enables businesses to become conversational by securely deploying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forcing them to navigate interactive voice response systems (IVRs) and wait on hold. Similarly, LiveEngage can receive traditional emails and convert them into messaging conversations, or embed messaging conversations directly into web advertisements, rather than redirect consumers to static website landing pages.</w:t>
      </w:r>
    </w:p>
    <w:p>
      <w:pPr>
        <w:spacing w:after="0" w:line="52" w:lineRule="exact"/>
        <w:rPr>
          <w:sz w:val="20"/>
          <w:szCs w:val="20"/>
          <w:color w:val="auto"/>
        </w:rPr>
      </w:pPr>
    </w:p>
    <w:p>
      <w:pPr>
        <w:jc w:val="both"/>
        <w:ind w:left="7" w:firstLine="561"/>
        <w:spacing w:after="0" w:line="289" w:lineRule="auto"/>
        <w:rPr>
          <w:sz w:val="20"/>
          <w:szCs w:val="20"/>
          <w:color w:val="auto"/>
        </w:rPr>
      </w:pPr>
      <w:r>
        <w:rPr>
          <w:rFonts w:ascii="Arial" w:cs="Arial" w:eastAsia="Arial" w:hAnsi="Arial"/>
          <w:sz w:val="14"/>
          <w:szCs w:val="14"/>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 i.e., WhatsApp, Line, Apple Business Chat, IVR, social, email,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LiveEngage.</w:t>
      </w:r>
    </w:p>
    <w:p>
      <w:pPr>
        <w:spacing w:after="0" w:line="52" w:lineRule="exact"/>
        <w:rPr>
          <w:sz w:val="20"/>
          <w:szCs w:val="20"/>
          <w:color w:val="auto"/>
        </w:rPr>
      </w:pPr>
    </w:p>
    <w:p>
      <w:pPr>
        <w:jc w:val="both"/>
        <w:ind w:left="7" w:firstLine="561"/>
        <w:spacing w:after="0" w:line="289" w:lineRule="auto"/>
        <w:rPr>
          <w:sz w:val="20"/>
          <w:szCs w:val="20"/>
          <w:color w:val="auto"/>
        </w:rPr>
      </w:pPr>
      <w:r>
        <w:rPr>
          <w:rFonts w:ascii="Arial" w:cs="Arial" w:eastAsia="Arial" w:hAnsi="Arial"/>
          <w:sz w:val="14"/>
          <w:szCs w:val="14"/>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 Company’s proprietary Conversational AI, as well as third-party bots, LiveEngage offers brands a comprehensive approach to scaling automations across their millions of customer conversations.</w:t>
      </w:r>
    </w:p>
    <w:p>
      <w:pPr>
        <w:spacing w:after="0" w:line="52" w:lineRule="exact"/>
        <w:rPr>
          <w:sz w:val="20"/>
          <w:szCs w:val="20"/>
          <w:color w:val="auto"/>
        </w:rPr>
      </w:pPr>
    </w:p>
    <w:p>
      <w:pPr>
        <w:jc w:val="both"/>
        <w:ind w:left="7" w:firstLine="561"/>
        <w:spacing w:after="0" w:line="248" w:lineRule="auto"/>
        <w:rPr>
          <w:sz w:val="20"/>
          <w:szCs w:val="20"/>
          <w:color w:val="auto"/>
        </w:rPr>
      </w:pPr>
      <w:r>
        <w:rPr>
          <w:rFonts w:ascii="Arial" w:cs="Arial" w:eastAsia="Arial" w:hAnsi="Arial"/>
          <w:sz w:val="16"/>
          <w:szCs w:val="16"/>
          <w:color w:val="auto"/>
        </w:rPr>
        <w:t>Complementing the Company’s proprietary messaging and Conversational AI offerings are teams of technical, solutions and consulting professionals that have developed deep domain expertise in the implementation and optimization of conversational services across industries and messaging endpoints. LivePerson is a leading authority in the Conversational Space. LivePerson’s products, coupled with the Company’s domain knowledge, industry expertise and professional services, have been proven to maximize the effectiveness of the Conversational Space and deliver measurable return on investment. Certain of the Company’s customers have achieved the following advantages from the Company’s offerings:</w:t>
      </w:r>
    </w:p>
    <w:p>
      <w:pPr>
        <w:spacing w:after="0" w:line="77" w:lineRule="exact"/>
        <w:rPr>
          <w:sz w:val="20"/>
          <w:szCs w:val="20"/>
          <w:color w:val="auto"/>
        </w:rPr>
      </w:pPr>
    </w:p>
    <w:p>
      <w:pPr>
        <w:ind w:left="567" w:hanging="286"/>
        <w:spacing w:after="0" w:line="263" w:lineRule="auto"/>
        <w:tabs>
          <w:tab w:leader="none" w:pos="56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64" w:lineRule="exact"/>
        <w:rPr>
          <w:rFonts w:ascii="Arial" w:cs="Arial" w:eastAsia="Arial" w:hAnsi="Arial"/>
          <w:sz w:val="16"/>
          <w:szCs w:val="16"/>
          <w:color w:val="auto"/>
        </w:rPr>
      </w:pPr>
    </w:p>
    <w:p>
      <w:pPr>
        <w:ind w:left="567" w:hanging="286"/>
        <w:spacing w:after="0"/>
        <w:tabs>
          <w:tab w:leader="none" w:pos="567" w:val="left"/>
        </w:tabs>
        <w:numPr>
          <w:ilvl w:val="0"/>
          <w:numId w:val="5"/>
        </w:numPr>
        <w:rPr>
          <w:rFonts w:ascii="Arial" w:cs="Arial" w:eastAsia="Arial" w:hAnsi="Arial"/>
          <w:sz w:val="16"/>
          <w:szCs w:val="16"/>
          <w:color w:val="auto"/>
        </w:rPr>
      </w:pPr>
      <w:r>
        <w:rPr>
          <w:rFonts w:ascii="Arial" w:cs="Arial" w:eastAsia="Arial" w:hAnsi="Arial"/>
          <w:sz w:val="16"/>
          <w:szCs w:val="16"/>
          <w:color w:val="auto"/>
        </w:rPr>
        <w:t>labor efficiency gains of at least two times that of a voice agents, effectively cutting labor costs by at least 50%;</w:t>
      </w:r>
    </w:p>
    <w:p>
      <w:pPr>
        <w:spacing w:after="0" w:line="96" w:lineRule="exact"/>
        <w:rPr>
          <w:rFonts w:ascii="Arial" w:cs="Arial" w:eastAsia="Arial" w:hAnsi="Arial"/>
          <w:sz w:val="16"/>
          <w:szCs w:val="16"/>
          <w:color w:val="auto"/>
        </w:rPr>
      </w:pPr>
    </w:p>
    <w:p>
      <w:pPr>
        <w:ind w:left="567" w:hanging="286"/>
        <w:spacing w:after="0"/>
        <w:tabs>
          <w:tab w:leader="none" w:pos="567" w:val="left"/>
        </w:tabs>
        <w:numPr>
          <w:ilvl w:val="0"/>
          <w:numId w:val="5"/>
        </w:numPr>
        <w:rPr>
          <w:rFonts w:ascii="Arial" w:cs="Arial" w:eastAsia="Arial" w:hAnsi="Arial"/>
          <w:sz w:val="14"/>
          <w:szCs w:val="14"/>
          <w:color w:val="auto"/>
        </w:rPr>
      </w:pPr>
      <w:r>
        <w:rPr>
          <w:rFonts w:ascii="Arial" w:cs="Arial" w:eastAsia="Arial" w:hAnsi="Arial"/>
          <w:sz w:val="14"/>
          <w:szCs w:val="14"/>
          <w:color w:val="auto"/>
        </w:rPr>
        <w:t>improving the overall customer experience, thereby fueling customer satisfaction increases of up to 20 percentage points, and enhancing retention and loyalty;</w:t>
      </w:r>
    </w:p>
    <w:p>
      <w:pPr>
        <w:spacing w:after="0" w:line="119" w:lineRule="exact"/>
        <w:rPr>
          <w:rFonts w:ascii="Arial" w:cs="Arial" w:eastAsia="Arial" w:hAnsi="Arial"/>
          <w:sz w:val="14"/>
          <w:szCs w:val="14"/>
          <w:color w:val="auto"/>
        </w:rPr>
      </w:pPr>
    </w:p>
    <w:p>
      <w:pPr>
        <w:ind w:left="567" w:hanging="286"/>
        <w:spacing w:after="0"/>
        <w:tabs>
          <w:tab w:leader="none" w:pos="567" w:val="left"/>
        </w:tabs>
        <w:numPr>
          <w:ilvl w:val="0"/>
          <w:numId w:val="5"/>
        </w:numPr>
        <w:rPr>
          <w:rFonts w:ascii="Arial" w:cs="Arial" w:eastAsia="Arial" w:hAnsi="Arial"/>
          <w:sz w:val="14"/>
          <w:szCs w:val="14"/>
          <w:color w:val="auto"/>
        </w:rPr>
      </w:pPr>
      <w:r>
        <w:rPr>
          <w:rFonts w:ascii="Arial" w:cs="Arial" w:eastAsia="Arial" w:hAnsi="Arial"/>
          <w:sz w:val="14"/>
          <w:szCs w:val="14"/>
          <w:color w:val="auto"/>
        </w:rPr>
        <w:t>more convenient, personalized and content-rich conversations that increase sales conversion by up to 20%, increase average order value and reduce abandonment;</w:t>
      </w:r>
    </w:p>
    <w:p>
      <w:pPr>
        <w:spacing w:after="0" w:line="119" w:lineRule="exact"/>
        <w:rPr>
          <w:rFonts w:ascii="Arial" w:cs="Arial" w:eastAsia="Arial" w:hAnsi="Arial"/>
          <w:sz w:val="14"/>
          <w:szCs w:val="14"/>
          <w:color w:val="auto"/>
        </w:rPr>
      </w:pPr>
    </w:p>
    <w:p>
      <w:pPr>
        <w:ind w:left="567" w:hanging="286"/>
        <w:spacing w:after="0"/>
        <w:tabs>
          <w:tab w:leader="none" w:pos="567" w:val="left"/>
        </w:tabs>
        <w:numPr>
          <w:ilvl w:val="0"/>
          <w:numId w:val="5"/>
        </w:numPr>
        <w:rPr>
          <w:rFonts w:ascii="Arial" w:cs="Arial" w:eastAsia="Arial" w:hAnsi="Arial"/>
          <w:sz w:val="16"/>
          <w:szCs w:val="16"/>
          <w:color w:val="auto"/>
        </w:rPr>
      </w:pPr>
      <w:r>
        <w:rPr>
          <w:rFonts w:ascii="Arial" w:cs="Arial" w:eastAsia="Arial" w:hAnsi="Arial"/>
          <w:sz w:val="16"/>
          <w:szCs w:val="16"/>
          <w:color w:val="auto"/>
        </w:rPr>
        <w:t>more satisfied contact center agents, thereby reducing agent churn by up to 50%</w:t>
      </w:r>
    </w:p>
    <w:p>
      <w:pPr>
        <w:spacing w:after="0" w:line="28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7"/>
          </w:cols>
          <w:pgMar w:left="313" w:top="170"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560" w:hanging="286"/>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maintain a valued connection with consumers via mobile devices, either through native applications, websites, text messages, or third-party messaging platforms;</w:t>
      </w:r>
    </w:p>
    <w:p>
      <w:pPr>
        <w:spacing w:after="0" w:line="119" w:lineRule="exact"/>
        <w:rPr>
          <w:rFonts w:ascii="Arial" w:cs="Arial" w:eastAsia="Arial" w:hAnsi="Arial"/>
          <w:sz w:val="14"/>
          <w:szCs w:val="14"/>
          <w:color w:val="auto"/>
        </w:rPr>
      </w:pPr>
    </w:p>
    <w:p>
      <w:pPr>
        <w:ind w:left="560" w:hanging="286"/>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leverage spending that drives visitor traffic by increasing visitor conversions;</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refine and improve performance by understanding which initiatives deliver the highest rate of return; and</w:t>
      </w:r>
    </w:p>
    <w:p>
      <w:pPr>
        <w:spacing w:after="0" w:line="96" w:lineRule="exact"/>
        <w:rPr>
          <w:rFonts w:ascii="Arial" w:cs="Arial" w:eastAsia="Arial" w:hAnsi="Arial"/>
          <w:sz w:val="16"/>
          <w:szCs w:val="16"/>
          <w:color w:val="auto"/>
        </w:rPr>
      </w:pPr>
    </w:p>
    <w:p>
      <w:pPr>
        <w:ind w:left="560" w:hanging="286"/>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increase lead generation by providing a single platform that engages consumers through advertisements and listings on branded and third-party websites.</w:t>
      </w:r>
    </w:p>
    <w:p>
      <w:pPr>
        <w:spacing w:after="0" w:line="40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74"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157" w:lineRule="exact"/>
        <w:rPr>
          <w:sz w:val="20"/>
          <w:szCs w:val="20"/>
          <w:color w:val="auto"/>
        </w:rPr>
      </w:pPr>
    </w:p>
    <w:p>
      <w:pPr>
        <w:jc w:val="both"/>
        <w:ind w:right="20" w:firstLine="561"/>
        <w:spacing w:after="0" w:line="253" w:lineRule="auto"/>
        <w:rPr>
          <w:sz w:val="20"/>
          <w:szCs w:val="20"/>
          <w:color w:val="auto"/>
        </w:rPr>
      </w:pPr>
      <w:r>
        <w:rPr>
          <w:rFonts w:ascii="Arial" w:cs="Arial" w:eastAsia="Arial" w:hAnsi="Arial"/>
          <w:sz w:val="16"/>
          <w:szCs w:val="16"/>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72" w:lineRule="exact"/>
        <w:rPr>
          <w:sz w:val="20"/>
          <w:szCs w:val="20"/>
          <w:color w:val="auto"/>
        </w:rPr>
      </w:pPr>
    </w:p>
    <w:p>
      <w:pPr>
        <w:jc w:val="both"/>
        <w:ind w:right="20" w:firstLine="561"/>
        <w:spacing w:after="0" w:line="292" w:lineRule="auto"/>
        <w:rPr>
          <w:sz w:val="20"/>
          <w:szCs w:val="20"/>
          <w:color w:val="auto"/>
        </w:rPr>
      </w:pPr>
      <w:r>
        <w:rPr>
          <w:rFonts w:ascii="Arial" w:cs="Arial" w:eastAsia="Arial" w:hAnsi="Arial"/>
          <w:sz w:val="14"/>
          <w:szCs w:val="14"/>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San Francisco (California), Mountain View (California), Tampa (Florida) and Seattle (Washington), and international offices in Amsterdam (Netherlands), Berlin (Germany), Delhi (India), London (United Kingdom), Mannheim (Germany), Melbourne (Australia), Sydney (Australia), Milan (Italy), Paris (France), Ra'anana (Israel), Reading (United Kingdom), Singapore (Singapore), Tel Aviv (Israel), and Tokyo (Japan).</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96" w:lineRule="exact"/>
        <w:rPr>
          <w:sz w:val="20"/>
          <w:szCs w:val="20"/>
          <w:color w:val="auto"/>
        </w:rPr>
      </w:pPr>
    </w:p>
    <w:p>
      <w:pPr>
        <w:jc w:val="both"/>
        <w:ind w:firstLine="561"/>
        <w:spacing w:after="0" w:line="288" w:lineRule="auto"/>
        <w:rPr>
          <w:sz w:val="20"/>
          <w:szCs w:val="20"/>
          <w:color w:val="auto"/>
        </w:rPr>
      </w:pPr>
      <w:r>
        <w:rPr>
          <w:rFonts w:ascii="Arial" w:cs="Arial" w:eastAsia="Arial" w:hAnsi="Arial"/>
          <w:sz w:val="14"/>
          <w:szCs w:val="14"/>
          <w:color w:val="auto"/>
        </w:rPr>
        <w:t>The accompanying condensed consolidated financial statements as of June 30, 2020 and for the three and six months ended June 30, 2020 and 2019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June 30, 2020, and the consolidated results of operations, comprehensive loss and cash flows for the interim periods ended June 30, 2020 and 2019.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2019 has been derived from audited consolidated financial statements at that date.</w:t>
      </w:r>
    </w:p>
    <w:p>
      <w:pPr>
        <w:spacing w:after="0" w:line="49" w:lineRule="exact"/>
        <w:rPr>
          <w:sz w:val="20"/>
          <w:szCs w:val="20"/>
          <w:color w:val="auto"/>
        </w:rPr>
      </w:pPr>
    </w:p>
    <w:p>
      <w:pPr>
        <w:jc w:val="both"/>
        <w:ind w:right="20" w:firstLine="561"/>
        <w:spacing w:after="0" w:line="297" w:lineRule="auto"/>
        <w:rPr>
          <w:sz w:val="20"/>
          <w:szCs w:val="20"/>
          <w:color w:val="auto"/>
        </w:rPr>
      </w:pPr>
      <w:r>
        <w:rPr>
          <w:rFonts w:ascii="Arial" w:cs="Arial" w:eastAsia="Arial" w:hAnsi="Arial"/>
          <w:sz w:val="14"/>
          <w:szCs w:val="14"/>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2019 included in the Company’s Annual Report on Form 10-K filed with the SEC on March 2, 2020.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Principles of Consolidation</w:t>
      </w:r>
    </w:p>
    <w:p>
      <w:pPr>
        <w:spacing w:after="0" w:line="96"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auto"/>
        </w:rPr>
        <w:t>The condensed consolidated financial statements include the Company and its wholly-owned subsidiaries. All intercompany balances and transactions have been eliminated.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320" w:top="170" w:right="319" w:bottom="1440" w:gutter="0" w:footer="0" w:header="0"/>
        </w:sectPr>
      </w:pPr>
    </w:p>
    <w:bookmarkStart w:id="13" w:name="page14"/>
    <w:bookmarkEnd w:id="13"/>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Use of Estimates</w:t>
      </w:r>
    </w:p>
    <w:p>
      <w:pPr>
        <w:spacing w:after="0" w:line="96" w:lineRule="exact"/>
        <w:rPr>
          <w:sz w:val="20"/>
          <w:szCs w:val="20"/>
          <w:color w:val="auto"/>
        </w:rPr>
      </w:pPr>
    </w:p>
    <w:p>
      <w:pPr>
        <w:jc w:val="both"/>
        <w:ind w:left="7" w:right="20" w:firstLine="561"/>
        <w:spacing w:after="0" w:line="250"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74" w:lineRule="exact"/>
        <w:rPr>
          <w:sz w:val="20"/>
          <w:szCs w:val="20"/>
          <w:color w:val="auto"/>
        </w:rPr>
      </w:pPr>
    </w:p>
    <w:p>
      <w:pPr>
        <w:jc w:val="both"/>
        <w:ind w:left="7" w:firstLine="561"/>
        <w:spacing w:after="0" w:line="253" w:lineRule="auto"/>
        <w:rPr>
          <w:sz w:val="20"/>
          <w:szCs w:val="20"/>
          <w:color w:val="auto"/>
        </w:rPr>
      </w:pPr>
      <w:r>
        <w:rPr>
          <w:rFonts w:ascii="Arial" w:cs="Arial" w:eastAsia="Arial" w:hAnsi="Arial"/>
          <w:sz w:val="16"/>
          <w:szCs w:val="16"/>
          <w:color w:val="auto"/>
        </w:rPr>
        <w:t>Many of our estimates require increased judgment due to the significant volatility, uncertainty and economic disruption of the recent global novel coronavirus disease ("COVID-19") pandemic. We will continue to monitor the effects of the COVID-19 pandemic, and our estimates and judgments may change materially as new events occur or additional information becomes available to us.</w:t>
      </w:r>
    </w:p>
    <w:p>
      <w:pPr>
        <w:spacing w:after="0" w:line="72"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Recently Issued Accounting Standards</w:t>
      </w:r>
    </w:p>
    <w:p>
      <w:pPr>
        <w:spacing w:after="0" w:line="96" w:lineRule="exact"/>
        <w:rPr>
          <w:sz w:val="20"/>
          <w:szCs w:val="20"/>
          <w:color w:val="auto"/>
        </w:rPr>
      </w:pPr>
    </w:p>
    <w:p>
      <w:pPr>
        <w:jc w:val="both"/>
        <w:ind w:left="7" w:firstLine="561"/>
        <w:spacing w:after="0" w:line="248" w:lineRule="auto"/>
        <w:rPr>
          <w:sz w:val="20"/>
          <w:szCs w:val="20"/>
          <w:color w:val="auto"/>
        </w:rPr>
      </w:pPr>
      <w:r>
        <w:rPr>
          <w:rFonts w:ascii="Arial" w:cs="Arial" w:eastAsia="Arial" w:hAnsi="Arial"/>
          <w:sz w:val="16"/>
          <w:szCs w:val="16"/>
          <w:color w:val="auto"/>
        </w:rPr>
        <w:t>In December 2019, the Financial Accounting Standards Board (“FASB”) issued ASU 2019-12, "Income Taxes (Topic 740): Simplifying the Accounting for Income Taxes." The new guidance is intended to simplify the accounting for income taxes by removing certain exceptions and by updating accounting requirements around franchise taxes, goodwill recognized for tax purposes, the allocation of current and deferred tax expense among legal entities, among other minor changes. The ASU is effective for fiscal years beginning after December 15, 2020, including interim periods within those fiscal years. Early adoption is permitted. The Company is assessing what impact ASU 2019-12 will have on its condensed consolidated financial statements.</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96" w:lineRule="exact"/>
        <w:rPr>
          <w:sz w:val="20"/>
          <w:szCs w:val="20"/>
          <w:color w:val="auto"/>
        </w:rPr>
      </w:pPr>
    </w:p>
    <w:p>
      <w:pPr>
        <w:jc w:val="both"/>
        <w:ind w:left="7" w:firstLine="561"/>
        <w:spacing w:after="0" w:line="286" w:lineRule="auto"/>
        <w:rPr>
          <w:sz w:val="20"/>
          <w:szCs w:val="20"/>
          <w:color w:val="auto"/>
        </w:rPr>
      </w:pPr>
      <w:r>
        <w:rPr>
          <w:rFonts w:ascii="Arial" w:cs="Arial" w:eastAsia="Arial" w:hAnsi="Arial"/>
          <w:sz w:val="14"/>
          <w:szCs w:val="14"/>
          <w:color w:val="auto"/>
        </w:rPr>
        <w:t>In June 2016, the FASB issued Accounting Standards Update ASU 2016-13, "Financial Instruments-Credit Losses (Topic 326)", in order to improve financial reporting of expected credit losses on financial instruments and other commitments to extend credit. ASU 2016-13 requires that an entity measure and recognize expected credit losses for financial assets held at amortized cost and replaces the incurred loss impairment methodology in prior GAAP with a methodology that requires consideration of a broader range of information to estimate credit losses. Such required disclosures include, but are not limited to, the Company's methodology for estimating its allowance for credit losses. The Company adopted ASU 2016-13 effective January 1, 2020 and applied the guidance using a modified retrospective approach requiring that the Company recognize the cumulative effect of initially applying the impairment standard as an adjustment to opening accumulated deficit for the incremental increase in its allowance for credit losses as of January 1, 2020 over its allowance for bad debts as of December, 31, 2019, which amounted to $0.7 million. The Company will continue to actively monitor the impact of the recent COVID-19 pandemic on expected credit losses.</w:t>
      </w:r>
    </w:p>
    <w:p>
      <w:pPr>
        <w:spacing w:after="0" w:line="147" w:lineRule="exact"/>
        <w:rPr>
          <w:sz w:val="20"/>
          <w:szCs w:val="20"/>
          <w:color w:val="auto"/>
        </w:rPr>
      </w:pPr>
    </w:p>
    <w:p>
      <w:pPr>
        <w:jc w:val="both"/>
        <w:ind w:left="7" w:firstLine="561"/>
        <w:spacing w:after="0" w:line="292" w:lineRule="auto"/>
        <w:rPr>
          <w:sz w:val="20"/>
          <w:szCs w:val="20"/>
          <w:color w:val="auto"/>
        </w:rPr>
      </w:pPr>
      <w:r>
        <w:rPr>
          <w:rFonts w:ascii="Arial" w:cs="Arial" w:eastAsia="Arial" w:hAnsi="Arial"/>
          <w:sz w:val="14"/>
          <w:szCs w:val="14"/>
          <w:color w:val="auto"/>
        </w:rPr>
        <w:t>In January 2017, the FASB issued Accounting Standards Update ASU 2017-04, Simplifying the Test for Goodwill Impairment, which eliminates the computation of the implied fair value of goodwill to measure a goodwill impairment charge. Instead, entities will record a goodwill impairment charge based on the excess of a reporting unit’s carrying amount over its fair value. The guidance is effective for interim and annual reporting periods beginning after December 15, 2019, with early adoption permitted. The Company adopted ASU 2017-04 in the first quarter of 2020 which reduced the complexity surrounding the evaluation of goodwill for impairment. The adoption of this guidance did not have a material impact on the Company’s condensed consolidated financial statements.</w:t>
      </w:r>
    </w:p>
    <w:p>
      <w:pPr>
        <w:spacing w:after="0" w:line="142" w:lineRule="exact"/>
        <w:rPr>
          <w:sz w:val="20"/>
          <w:szCs w:val="20"/>
          <w:color w:val="auto"/>
        </w:rPr>
      </w:pPr>
    </w:p>
    <w:p>
      <w:pPr>
        <w:jc w:val="both"/>
        <w:ind w:left="7" w:firstLine="561"/>
        <w:spacing w:after="0" w:line="247" w:lineRule="auto"/>
        <w:rPr>
          <w:sz w:val="20"/>
          <w:szCs w:val="20"/>
          <w:color w:val="auto"/>
        </w:rPr>
      </w:pPr>
      <w:r>
        <w:rPr>
          <w:rFonts w:ascii="Arial" w:cs="Arial" w:eastAsia="Arial" w:hAnsi="Arial"/>
          <w:sz w:val="16"/>
          <w:szCs w:val="16"/>
          <w:color w:val="auto"/>
        </w:rPr>
        <w:t>In August 2018, the FASB issued ASU 2018-15, “Customer’s Accounting for Implementation Costs Incurred in a Cloud Computing Arrangement That Is a Service Contract,” which clarifies the accounting for implementation costs in cloud computing arrangements. The new standard aligns the treatment of implementation costs incurred by customers in cloud computing arrangements that are service contracts with the treatment of similar costs incurred to develop or obtain internal-use software. Under the new standard, implementation costs are deferred and presented in the same financial statement caption on the condensed consolidated balance sheet as a prepayment of related arrangement fees. The deferred costs are recognized over the term of the arrangement in the same financial statement caption in the condensed consolidated income statement as the related fees of the arrangement. The Company adopted ASU 2018-15 in the first quarter of 2020 and the impact of the adoption was not material to the Company's condensed consolidated financial statements.</w:t>
      </w:r>
    </w:p>
    <w:p>
      <w:pPr>
        <w:spacing w:after="0" w:line="166" w:lineRule="exact"/>
        <w:rPr>
          <w:sz w:val="20"/>
          <w:szCs w:val="20"/>
          <w:color w:val="auto"/>
        </w:rPr>
      </w:pPr>
    </w:p>
    <w:p>
      <w:pPr>
        <w:ind w:left="287" w:hanging="287"/>
        <w:spacing w:after="0"/>
        <w:tabs>
          <w:tab w:leader="none" w:pos="28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w:t>
      </w:r>
    </w:p>
    <w:p>
      <w:pPr>
        <w:spacing w:after="0" w:line="194" w:lineRule="exact"/>
        <w:rPr>
          <w:sz w:val="20"/>
          <w:szCs w:val="20"/>
          <w:color w:val="auto"/>
        </w:rPr>
      </w:pPr>
    </w:p>
    <w:p>
      <w:pPr>
        <w:jc w:val="both"/>
        <w:ind w:left="7" w:firstLine="561"/>
        <w:spacing w:after="0" w:line="306" w:lineRule="auto"/>
        <w:rPr>
          <w:sz w:val="20"/>
          <w:szCs w:val="20"/>
          <w:color w:val="auto"/>
        </w:rPr>
      </w:pPr>
      <w:r>
        <w:rPr>
          <w:rFonts w:ascii="Arial" w:cs="Arial" w:eastAsia="Arial" w:hAnsi="Arial"/>
          <w:sz w:val="14"/>
          <w:szCs w:val="14"/>
          <w:color w:val="auto"/>
        </w:rPr>
        <w:t>The majority of the Company’s revenue is generated from monthly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 No single customer accounted for or exceeded 10% of our total revenue for the period ended June 30, 2020.</w:t>
      </w:r>
    </w:p>
    <w:p>
      <w:pPr>
        <w:spacing w:after="0" w:line="13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7"/>
          </w:cols>
          <w:pgMar w:left="313" w:top="170"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96" w:lineRule="exact"/>
        <w:rPr>
          <w:sz w:val="20"/>
          <w:szCs w:val="20"/>
          <w:color w:val="auto"/>
        </w:rPr>
      </w:pPr>
    </w:p>
    <w:p>
      <w:pPr>
        <w:ind w:left="1160" w:hanging="174"/>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90"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212529"/>
        </w:rPr>
        <w:t>Total revenue of $91.6 million and $71.0 million was recognized during the three months ended June 30, 2020 and 2019, respectively, and $169.7 million and $137.4 million was recognized during the six months ended June 30, 2020 and 2019, respectively.</w:t>
      </w:r>
    </w:p>
    <w:p>
      <w:pPr>
        <w:spacing w:after="0" w:line="157" w:lineRule="exact"/>
        <w:rPr>
          <w:sz w:val="20"/>
          <w:szCs w:val="20"/>
          <w:color w:val="auto"/>
        </w:rPr>
      </w:pPr>
    </w:p>
    <w:p>
      <w:pPr>
        <w:jc w:val="both"/>
        <w:ind w:firstLine="561"/>
        <w:spacing w:after="0" w:line="297" w:lineRule="auto"/>
        <w:rPr>
          <w:sz w:val="20"/>
          <w:szCs w:val="20"/>
          <w:color w:val="auto"/>
        </w:rPr>
      </w:pPr>
      <w:r>
        <w:rPr>
          <w:rFonts w:ascii="Arial" w:cs="Arial" w:eastAsia="Arial" w:hAnsi="Arial"/>
          <w:sz w:val="14"/>
          <w:szCs w:val="14"/>
          <w:color w:val="auto"/>
        </w:rPr>
        <w:t>Under Topic 606, the Company defers all incremental commission costs (contract acquisition costs) to obtain the contract. The contract acquisition costs, which are comprised of prepaid sales commissions, have balances at June 30, 2020 and December 31, 2019 of $36.1 million and $32.0 million, respectively. The Company amortizes these costs over the related period of benefit using the customers expected life that the Company determines to be three to five years, which is consistent with the transfer to the customer of the services to which the asset relates. The Company classifies contract acquisition costs as long-term unless they have an original amortization period of one year or less.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Hosted Services- Business Revenue</w:t>
      </w:r>
    </w:p>
    <w:p>
      <w:pPr>
        <w:spacing w:after="0" w:line="190" w:lineRule="exact"/>
        <w:rPr>
          <w:sz w:val="20"/>
          <w:szCs w:val="20"/>
          <w:color w:val="auto"/>
        </w:rPr>
      </w:pPr>
    </w:p>
    <w:p>
      <w:pPr>
        <w:jc w:val="both"/>
        <w:ind w:right="20" w:firstLine="561"/>
        <w:spacing w:after="0" w:line="284" w:lineRule="auto"/>
        <w:rPr>
          <w:sz w:val="20"/>
          <w:szCs w:val="20"/>
          <w:color w:val="auto"/>
        </w:rPr>
      </w:pPr>
      <w:r>
        <w:rPr>
          <w:rFonts w:ascii="Arial" w:cs="Arial" w:eastAsia="Arial" w:hAnsi="Arial"/>
          <w:sz w:val="14"/>
          <w:szCs w:val="14"/>
          <w:color w:val="auto"/>
        </w:rPr>
        <w:t>Hosted Services Business revenue is reported at the amount that reflects the ultimate consideration expected to be received and primarily consist of fees that provide customers access to LiveEngage,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Gainshare (formerly Pay for Performance) arrangements in accordance with ASC-606, "Principal Agent Considerations," the Company acts as a principal in a transaction if it controls the specified goods or services before they are transferred to the customer.</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Professional Services Revenues</w:t>
      </w:r>
    </w:p>
    <w:p>
      <w:pPr>
        <w:spacing w:after="0" w:line="190"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4"/>
          <w:szCs w:val="14"/>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0"/>
          </w:cols>
          <w:pgMar w:left="320" w:top="170"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Remaining Performance Obligation</w:t>
      </w:r>
    </w:p>
    <w:p>
      <w:pPr>
        <w:spacing w:after="0" w:line="190"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As of June 30, 2020, the aggregate amount of the total transaction price allocated in contracts with original duration of greater than one year to the remaining performance obligations was $221.0 million. Approximately 90%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cancelable by the customer, amounts associated with optional renewal periods, and any amounts related to performance obligations, which are billed and recognized as they are delivered. The Company has elected the optional exemption, which allows for the exclusion of the amounts for remaining performance obligations that are part of contracts with an original expected duration of one year or less. Such remaining performance obligations represent unsatisfied or partially unsatisfied performance obligation pursuant to ASC 606.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Multiple Performance Obligations</w:t>
      </w:r>
    </w:p>
    <w:p>
      <w:pPr>
        <w:spacing w:after="0" w:line="19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Hosted Services- Consumer Revenue</w:t>
      </w:r>
    </w:p>
    <w:p>
      <w:pPr>
        <w:spacing w:after="0" w:line="190"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Revenues</w:t>
      </w:r>
    </w:p>
    <w:p>
      <w:pPr>
        <w:spacing w:after="0" w:line="190"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The Company records deferred revenues when cash payments are received or due in advance of the Company’s performance. The increase in the deferred revenue balance as of June 30, 2020 is primarily driven by cash payments received or due in advance of satisfying the Company’s performance obligations, partially offset by $60.5 million of revenues recognized that were included in the deferred revenue balance as of December 31, 2019.</w:t>
      </w:r>
    </w:p>
    <w:p>
      <w:pPr>
        <w:spacing w:after="0" w:line="200" w:lineRule="exact"/>
        <w:rPr>
          <w:sz w:val="20"/>
          <w:szCs w:val="20"/>
          <w:color w:val="auto"/>
        </w:rPr>
      </w:pPr>
    </w:p>
    <w:p>
      <w:pPr>
        <w:spacing w:after="0" w:line="2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deferred revenue by revenue source (amounts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2"/>
                <w:szCs w:val="12"/>
                <w:b w:val="1"/>
                <w:bCs w:val="1"/>
                <w:color w:val="auto"/>
              </w:rPr>
              <w:t>Deferred Revenue</w:t>
            </w:r>
          </w:p>
        </w:tc>
        <w:tc>
          <w:tcPr>
            <w:tcW w:w="0" w:type="dxa"/>
            <w:vAlign w:val="bottom"/>
          </w:tcPr>
          <w:p>
            <w:pPr>
              <w:spacing w:after="0"/>
              <w:rPr>
                <w:sz w:val="1"/>
                <w:szCs w:val="1"/>
                <w:color w:val="auto"/>
              </w:rPr>
            </w:pPr>
          </w:p>
        </w:tc>
      </w:tr>
      <w:tr>
        <w:trPr>
          <w:trHeight w:val="129"/>
        </w:trPr>
        <w:tc>
          <w:tcPr>
            <w:tcW w:w="8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As of June 30, 2020</w:t>
            </w:r>
          </w:p>
        </w:tc>
        <w:tc>
          <w:tcPr>
            <w:tcW w:w="120" w:type="dxa"/>
            <w:vAlign w:val="bottom"/>
          </w:tcPr>
          <w:p>
            <w:pPr>
              <w:spacing w:after="0"/>
              <w:rPr>
                <w:sz w:val="11"/>
                <w:szCs w:val="11"/>
                <w:color w:val="auto"/>
              </w:rPr>
            </w:pPr>
          </w:p>
        </w:tc>
        <w:tc>
          <w:tcPr>
            <w:tcW w:w="1200" w:type="dxa"/>
            <w:vAlign w:val="bottom"/>
          </w:tcPr>
          <w:p>
            <w:pPr>
              <w:jc w:val="right"/>
              <w:ind w:right="72"/>
              <w:spacing w:after="0" w:line="129" w:lineRule="exact"/>
              <w:rPr>
                <w:sz w:val="20"/>
                <w:szCs w:val="20"/>
                <w:color w:val="auto"/>
              </w:rPr>
            </w:pPr>
            <w:r>
              <w:rPr>
                <w:rFonts w:ascii="Arial" w:cs="Arial" w:eastAsia="Arial" w:hAnsi="Arial"/>
                <w:sz w:val="12"/>
                <w:szCs w:val="12"/>
                <w:b w:val="1"/>
                <w:bCs w:val="1"/>
                <w:color w:val="auto"/>
                <w:w w:val="93"/>
              </w:rPr>
              <w:t>As of December 31,</w:t>
            </w:r>
          </w:p>
        </w:tc>
        <w:tc>
          <w:tcPr>
            <w:tcW w:w="0" w:type="dxa"/>
            <w:vAlign w:val="bottom"/>
          </w:tcPr>
          <w:p>
            <w:pPr>
              <w:spacing w:after="0"/>
              <w:rPr>
                <w:sz w:val="1"/>
                <w:szCs w:val="1"/>
                <w:color w:val="auto"/>
              </w:rPr>
            </w:pPr>
          </w:p>
        </w:tc>
      </w:tr>
      <w:tr>
        <w:trPr>
          <w:trHeight w:val="166"/>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472"/>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91"/>
        </w:trPr>
        <w:tc>
          <w:tcPr>
            <w:tcW w:w="8340" w:type="dxa"/>
            <w:vAlign w:val="bottom"/>
          </w:tcPr>
          <w:p>
            <w:pPr>
              <w:ind w:left="20"/>
              <w:spacing w:after="0"/>
              <w:rPr>
                <w:sz w:val="20"/>
                <w:szCs w:val="20"/>
                <w:color w:val="auto"/>
              </w:rPr>
            </w:pPr>
            <w:r>
              <w:rPr>
                <w:rFonts w:ascii="Arial" w:cs="Arial" w:eastAsia="Arial" w:hAnsi="Arial"/>
                <w:sz w:val="14"/>
                <w:szCs w:val="14"/>
                <w:color w:val="auto"/>
              </w:rPr>
              <w:t>Hosted services – Business</w:t>
            </w: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88,864</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82,892</w:t>
            </w:r>
          </w:p>
        </w:tc>
        <w:tc>
          <w:tcPr>
            <w:tcW w:w="0" w:type="dxa"/>
            <w:vAlign w:val="bottom"/>
          </w:tcPr>
          <w:p>
            <w:pPr>
              <w:spacing w:after="0"/>
              <w:rPr>
                <w:sz w:val="1"/>
                <w:szCs w:val="1"/>
                <w:color w:val="auto"/>
              </w:rPr>
            </w:pPr>
          </w:p>
        </w:tc>
      </w:tr>
      <w:tr>
        <w:trPr>
          <w:trHeight w:val="28"/>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Hosted services – Consumer</w:t>
            </w:r>
          </w:p>
        </w:tc>
        <w:tc>
          <w:tcPr>
            <w:tcW w:w="16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765</w:t>
            </w:r>
          </w:p>
        </w:tc>
        <w:tc>
          <w:tcPr>
            <w:tcW w:w="1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Arial" w:cs="Arial" w:eastAsia="Arial" w:hAnsi="Arial"/>
                <w:sz w:val="14"/>
                <w:szCs w:val="14"/>
                <w:color w:val="auto"/>
              </w:rPr>
              <w:t>Professional services – Business</w:t>
            </w:r>
          </w:p>
        </w:tc>
        <w:tc>
          <w:tcPr>
            <w:tcW w:w="160" w:type="dxa"/>
            <w:vAlign w:val="bottom"/>
          </w:tcPr>
          <w:p>
            <w:pPr>
              <w:spacing w:after="0"/>
              <w:rPr>
                <w:sz w:val="17"/>
                <w:szCs w:val="17"/>
                <w:color w:val="auto"/>
              </w:rPr>
            </w:pPr>
          </w:p>
        </w:tc>
        <w:tc>
          <w:tcPr>
            <w:tcW w:w="1300" w:type="dxa"/>
            <w:vAlign w:val="bottom"/>
          </w:tcPr>
          <w:p>
            <w:pPr>
              <w:jc w:val="right"/>
              <w:ind w:right="52"/>
              <w:spacing w:after="0"/>
              <w:rPr>
                <w:sz w:val="20"/>
                <w:szCs w:val="20"/>
                <w:color w:val="auto"/>
              </w:rPr>
            </w:pPr>
            <w:r>
              <w:rPr>
                <w:rFonts w:ascii="Arial" w:cs="Arial" w:eastAsia="Arial" w:hAnsi="Arial"/>
                <w:sz w:val="14"/>
                <w:szCs w:val="14"/>
                <w:color w:val="auto"/>
              </w:rPr>
              <w:t>2,461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5,172</w:t>
            </w:r>
          </w:p>
        </w:tc>
        <w:tc>
          <w:tcPr>
            <w:tcW w:w="0" w:type="dxa"/>
            <w:vAlign w:val="bottom"/>
          </w:tcPr>
          <w:p>
            <w:pPr>
              <w:spacing w:after="0"/>
              <w:rPr>
                <w:sz w:val="1"/>
                <w:szCs w:val="1"/>
                <w:color w:val="auto"/>
              </w:rPr>
            </w:pPr>
          </w:p>
        </w:tc>
      </w:tr>
      <w:tr>
        <w:trPr>
          <w:trHeight w:val="28"/>
        </w:trPr>
        <w:tc>
          <w:tcPr>
            <w:tcW w:w="83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3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Total deferred revenue - short term</w:t>
            </w:r>
          </w:p>
        </w:tc>
        <w:tc>
          <w:tcPr>
            <w:tcW w:w="16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92,090</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88,751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Hosted services – Business</w:t>
            </w:r>
          </w:p>
        </w:tc>
        <w:tc>
          <w:tcPr>
            <w:tcW w:w="16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329</w:t>
            </w:r>
          </w:p>
        </w:tc>
        <w:tc>
          <w:tcPr>
            <w:tcW w:w="1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Arial" w:cs="Arial" w:eastAsia="Arial" w:hAnsi="Arial"/>
                <w:sz w:val="14"/>
                <w:szCs w:val="14"/>
                <w:color w:val="auto"/>
              </w:rPr>
              <w:t>Professional services – Business</w:t>
            </w:r>
          </w:p>
        </w:tc>
        <w:tc>
          <w:tcPr>
            <w:tcW w:w="160" w:type="dxa"/>
            <w:vAlign w:val="bottom"/>
          </w:tcPr>
          <w:p>
            <w:pPr>
              <w:spacing w:after="0"/>
              <w:rPr>
                <w:sz w:val="17"/>
                <w:szCs w:val="17"/>
                <w:color w:val="auto"/>
              </w:rPr>
            </w:pPr>
          </w:p>
        </w:tc>
        <w:tc>
          <w:tcPr>
            <w:tcW w:w="1300" w:type="dxa"/>
            <w:vAlign w:val="bottom"/>
          </w:tcPr>
          <w:p>
            <w:pPr>
              <w:jc w:val="right"/>
              <w:ind w:right="52"/>
              <w:spacing w:after="0"/>
              <w:rPr>
                <w:sz w:val="20"/>
                <w:szCs w:val="20"/>
                <w:color w:val="auto"/>
              </w:rPr>
            </w:pPr>
            <w:r>
              <w:rPr>
                <w:rFonts w:ascii="Arial" w:cs="Arial" w:eastAsia="Arial" w:hAnsi="Arial"/>
                <w:sz w:val="14"/>
                <w:szCs w:val="14"/>
                <w:color w:val="auto"/>
              </w:rPr>
              <w:t>2,793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8"/>
        </w:trPr>
        <w:tc>
          <w:tcPr>
            <w:tcW w:w="83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3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Total deferred revenue - long term</w:t>
            </w:r>
          </w:p>
        </w:tc>
        <w:tc>
          <w:tcPr>
            <w:tcW w:w="16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3,122</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170" w:right="319" w:bottom="1440" w:gutter="0" w:footer="0" w:header="0"/>
        </w:sectPr>
      </w:pPr>
    </w:p>
    <w:bookmarkStart w:id="16" w:name="page17"/>
    <w:bookmarkEnd w:id="16"/>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Disaggregated Revenue</w:t>
      </w:r>
    </w:p>
    <w:p>
      <w:pPr>
        <w:spacing w:after="0" w:line="190"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following table presents the Company's revenues disaggregated by revenue source (amounts in thousands):</w:t>
      </w:r>
    </w:p>
    <w:p>
      <w:pPr>
        <w:spacing w:after="0" w:line="194"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7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Three Months Ended</w:t>
            </w: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2"/>
                <w:szCs w:val="12"/>
                <w:b w:val="1"/>
                <w:bCs w:val="1"/>
                <w:color w:val="auto"/>
              </w:rPr>
              <w:t>Six Months Ended</w:t>
            </w:r>
          </w:p>
        </w:tc>
      </w:tr>
      <w:tr>
        <w:trPr>
          <w:trHeight w:val="225"/>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2"/>
                <w:szCs w:val="12"/>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2"/>
                <w:szCs w:val="12"/>
                <w:b w:val="1"/>
                <w:bCs w:val="1"/>
                <w:color w:val="auto"/>
              </w:rPr>
              <w:t>June 30,</w:t>
            </w:r>
          </w:p>
        </w:tc>
        <w:tc>
          <w:tcPr>
            <w:tcW w:w="640" w:type="dxa"/>
            <w:vAlign w:val="bottom"/>
            <w:tcBorders>
              <w:bottom w:val="single" w:sz="8" w:color="auto"/>
            </w:tcBorders>
          </w:tcPr>
          <w:p>
            <w:pPr>
              <w:spacing w:after="0"/>
              <w:rPr>
                <w:sz w:val="19"/>
                <w:szCs w:val="19"/>
                <w:color w:val="auto"/>
              </w:rPr>
            </w:pPr>
          </w:p>
        </w:tc>
      </w:tr>
      <w:tr>
        <w:trPr>
          <w:trHeight w:val="225"/>
        </w:trPr>
        <w:tc>
          <w:tcPr>
            <w:tcW w:w="732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51"/>
              <w:spacing w:after="0"/>
              <w:rPr>
                <w:sz w:val="20"/>
                <w:szCs w:val="20"/>
                <w:color w:val="auto"/>
              </w:rPr>
            </w:pPr>
            <w:r>
              <w:rPr>
                <w:rFonts w:ascii="Arial" w:cs="Arial" w:eastAsia="Arial" w:hAnsi="Arial"/>
                <w:sz w:val="12"/>
                <w:szCs w:val="12"/>
                <w:b w:val="1"/>
                <w:bCs w:val="1"/>
                <w:color w:val="auto"/>
              </w:rPr>
              <w:t>2019</w:t>
            </w:r>
          </w:p>
        </w:tc>
      </w:tr>
      <w:tr>
        <w:trPr>
          <w:trHeight w:val="211"/>
        </w:trPr>
        <w:tc>
          <w:tcPr>
            <w:tcW w:w="73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shd w:val="clear" w:color="auto" w:fill="CCFFCC"/>
              </w:rPr>
              <w:t>Revenue:</w:t>
            </w:r>
          </w:p>
        </w:tc>
        <w:tc>
          <w:tcPr>
            <w:tcW w:w="22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CCFFCC"/>
            </w:tcBorders>
            <w:shd w:val="clear" w:color="auto" w:fill="CCFFCC"/>
          </w:tcPr>
          <w:p>
            <w:pPr>
              <w:spacing w:after="0"/>
              <w:rPr>
                <w:sz w:val="18"/>
                <w:szCs w:val="18"/>
                <w:color w:val="auto"/>
              </w:rPr>
            </w:pPr>
          </w:p>
        </w:tc>
      </w:tr>
      <w:tr>
        <w:trPr>
          <w:trHeight w:val="206"/>
        </w:trPr>
        <w:tc>
          <w:tcPr>
            <w:tcW w:w="7320" w:type="dxa"/>
            <w:vAlign w:val="bottom"/>
          </w:tcPr>
          <w:p>
            <w:pPr>
              <w:ind w:left="140"/>
              <w:spacing w:after="0"/>
              <w:rPr>
                <w:sz w:val="20"/>
                <w:szCs w:val="20"/>
                <w:color w:val="auto"/>
              </w:rPr>
            </w:pPr>
            <w:r>
              <w:rPr>
                <w:rFonts w:ascii="Arial" w:cs="Arial" w:eastAsia="Arial" w:hAnsi="Arial"/>
                <w:sz w:val="14"/>
                <w:szCs w:val="14"/>
                <w:color w:val="auto"/>
              </w:rPr>
              <w:t>Hosted services – Business</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72,382</w:t>
            </w:r>
          </w:p>
        </w:tc>
        <w:tc>
          <w:tcPr>
            <w:tcW w:w="120" w:type="dxa"/>
            <w:vAlign w:val="bottom"/>
          </w:tcPr>
          <w:p>
            <w:pPr>
              <w:spacing w:after="0"/>
              <w:rPr>
                <w:sz w:val="17"/>
                <w:szCs w:val="17"/>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53,672</w:t>
            </w:r>
          </w:p>
        </w:tc>
        <w:tc>
          <w:tcPr>
            <w:tcW w:w="120" w:type="dxa"/>
            <w:vAlign w:val="bottom"/>
          </w:tcPr>
          <w:p>
            <w:pPr>
              <w:spacing w:after="0"/>
              <w:rPr>
                <w:sz w:val="17"/>
                <w:szCs w:val="17"/>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133,435</w:t>
            </w:r>
          </w:p>
        </w:tc>
        <w:tc>
          <w:tcPr>
            <w:tcW w:w="100" w:type="dxa"/>
            <w:vAlign w:val="bottom"/>
          </w:tcPr>
          <w:p>
            <w:pPr>
              <w:spacing w:after="0"/>
              <w:rPr>
                <w:sz w:val="17"/>
                <w:szCs w:val="17"/>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w w:val="98"/>
              </w:rPr>
              <w:t>105,209</w:t>
            </w:r>
          </w:p>
        </w:tc>
      </w:tr>
      <w:tr>
        <w:trPr>
          <w:trHeight w:val="28"/>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4"/>
        </w:trPr>
        <w:tc>
          <w:tcPr>
            <w:tcW w:w="73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shd w:val="clear" w:color="auto" w:fill="CCFFCC"/>
              </w:rPr>
              <w:t>Hosted services – Consumer</w:t>
            </w:r>
          </w:p>
        </w:tc>
        <w:tc>
          <w:tcPr>
            <w:tcW w:w="22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7,587</w:t>
            </w:r>
          </w:p>
        </w:tc>
        <w:tc>
          <w:tcPr>
            <w:tcW w:w="12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6,124</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13,826</w:t>
            </w: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11,531</w:t>
            </w:r>
          </w:p>
        </w:tc>
      </w:tr>
      <w:tr>
        <w:trPr>
          <w:trHeight w:val="206"/>
        </w:trPr>
        <w:tc>
          <w:tcPr>
            <w:tcW w:w="732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220" w:type="dxa"/>
            <w:vAlign w:val="bottom"/>
          </w:tcPr>
          <w:p>
            <w:pPr>
              <w:spacing w:after="0"/>
              <w:rPr>
                <w:sz w:val="17"/>
                <w:szCs w:val="17"/>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11,634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11,163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22,430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20,621</w:t>
            </w:r>
          </w:p>
        </w:tc>
      </w:tr>
      <w:tr>
        <w:trPr>
          <w:trHeight w:val="28"/>
        </w:trPr>
        <w:tc>
          <w:tcPr>
            <w:tcW w:w="73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9"/>
        </w:trPr>
        <w:tc>
          <w:tcPr>
            <w:tcW w:w="73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shd w:val="clear" w:color="auto" w:fill="CCFFCC"/>
              </w:rPr>
              <w:t>Total revenue</w:t>
            </w:r>
          </w:p>
        </w:tc>
        <w:tc>
          <w:tcPr>
            <w:tcW w:w="2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91,603</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70,959</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169,691</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w w:val="98"/>
              </w:rPr>
              <w:t>137,361</w:t>
            </w:r>
          </w:p>
        </w:tc>
      </w:tr>
      <w:tr>
        <w:trPr>
          <w:trHeight w:val="20"/>
        </w:trPr>
        <w:tc>
          <w:tcPr>
            <w:tcW w:w="73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r>
    </w:tbl>
    <w:p>
      <w:pPr>
        <w:spacing w:after="0" w:line="26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Revenue by Geographic Location</w:t>
      </w:r>
    </w:p>
    <w:p>
      <w:pPr>
        <w:spacing w:after="0" w:line="190" w:lineRule="exact"/>
        <w:rPr>
          <w:sz w:val="20"/>
          <w:szCs w:val="20"/>
          <w:color w:val="auto"/>
        </w:rPr>
      </w:pPr>
    </w:p>
    <w:p>
      <w:pPr>
        <w:ind w:left="567"/>
        <w:spacing w:after="0"/>
        <w:rPr>
          <w:sz w:val="20"/>
          <w:szCs w:val="20"/>
          <w:color w:val="auto"/>
        </w:rPr>
      </w:pPr>
      <w:r>
        <w:rPr>
          <w:rFonts w:ascii="Arial" w:cs="Arial" w:eastAsia="Arial" w:hAnsi="Arial"/>
          <w:sz w:val="14"/>
          <w:szCs w:val="14"/>
          <w:color w:val="auto"/>
        </w:rPr>
        <w:t>The following table presents the Company’s revenues attributable to domestic and foreign operations for the periods presented (amounts in thousands):</w:t>
      </w:r>
    </w:p>
    <w:p>
      <w:pPr>
        <w:spacing w:after="0" w:line="311"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60" w:type="dxa"/>
            <w:vAlign w:val="bottom"/>
            <w:tcBorders>
              <w:bottom w:val="single" w:sz="8" w:color="auto"/>
            </w:tcBorders>
          </w:tcPr>
          <w:p>
            <w:pPr>
              <w:spacing w:after="0"/>
              <w:rPr>
                <w:sz w:val="14"/>
                <w:szCs w:val="14"/>
                <w:color w:val="auto"/>
              </w:rPr>
            </w:pPr>
          </w:p>
        </w:tc>
      </w:tr>
      <w:tr>
        <w:trPr>
          <w:trHeight w:val="225"/>
        </w:trPr>
        <w:tc>
          <w:tcPr>
            <w:tcW w:w="6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w w:val="87"/>
              </w:rPr>
              <w:t>June 30,</w:t>
            </w: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June 30,</w:t>
            </w:r>
          </w:p>
        </w:tc>
        <w:tc>
          <w:tcPr>
            <w:tcW w:w="760" w:type="dxa"/>
            <w:vAlign w:val="bottom"/>
            <w:tcBorders>
              <w:bottom w:val="single" w:sz="8" w:color="auto"/>
            </w:tcBorders>
          </w:tcPr>
          <w:p>
            <w:pPr>
              <w:spacing w:after="0"/>
              <w:rPr>
                <w:sz w:val="19"/>
                <w:szCs w:val="19"/>
                <w:color w:val="auto"/>
              </w:rPr>
            </w:pPr>
          </w:p>
        </w:tc>
      </w:tr>
      <w:tr>
        <w:trPr>
          <w:trHeight w:val="203"/>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7"/>
                <w:szCs w:val="17"/>
                <w:color w:val="auto"/>
              </w:rPr>
            </w:pP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410"/>
              <w:spacing w:after="0"/>
              <w:rPr>
                <w:sz w:val="20"/>
                <w:szCs w:val="20"/>
                <w:color w:val="auto"/>
              </w:rPr>
            </w:pPr>
            <w:r>
              <w:rPr>
                <w:rFonts w:ascii="Arial" w:cs="Arial" w:eastAsia="Arial" w:hAnsi="Arial"/>
                <w:sz w:val="14"/>
                <w:szCs w:val="14"/>
                <w:b w:val="1"/>
                <w:bCs w:val="1"/>
                <w:color w:val="auto"/>
                <w:w w:val="83"/>
              </w:rPr>
              <w:t>2019</w:t>
            </w:r>
          </w:p>
        </w:tc>
      </w:tr>
      <w:tr>
        <w:trPr>
          <w:trHeight w:val="28"/>
        </w:trPr>
        <w:tc>
          <w:tcPr>
            <w:tcW w:w="608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5"/>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United States</w:t>
            </w:r>
          </w:p>
        </w:tc>
        <w:tc>
          <w:tcPr>
            <w:tcW w:w="2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59,559</w:t>
            </w:r>
          </w:p>
        </w:tc>
        <w:tc>
          <w:tcPr>
            <w:tcW w:w="580" w:type="dxa"/>
            <w:vAlign w:val="bottom"/>
            <w:tcBorders>
              <w:bottom w:val="single" w:sz="8" w:color="CCFFCC"/>
            </w:tcBorders>
            <w:gridSpan w:val="3"/>
            <w:shd w:val="clear" w:color="auto" w:fill="CCFFC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41,315</w:t>
            </w:r>
          </w:p>
        </w:tc>
        <w:tc>
          <w:tcPr>
            <w:tcW w:w="40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108,109</w:t>
            </w:r>
          </w:p>
        </w:tc>
        <w:tc>
          <w:tcPr>
            <w:tcW w:w="100" w:type="dxa"/>
            <w:vAlign w:val="bottom"/>
            <w:tcBorders>
              <w:bottom w:val="single" w:sz="8" w:color="CCFFCC"/>
            </w:tcBorders>
            <w:shd w:val="clear" w:color="auto" w:fill="CCFFCC"/>
          </w:tcPr>
          <w:p>
            <w:pPr>
              <w:spacing w:after="0"/>
              <w:rPr>
                <w:sz w:val="17"/>
                <w:szCs w:val="17"/>
                <w:color w:val="auto"/>
              </w:rPr>
            </w:pPr>
          </w:p>
        </w:tc>
        <w:tc>
          <w:tcPr>
            <w:tcW w:w="46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79,904</w:t>
            </w:r>
          </w:p>
        </w:tc>
      </w:tr>
      <w:tr>
        <w:trPr>
          <w:trHeight w:val="234"/>
        </w:trPr>
        <w:tc>
          <w:tcPr>
            <w:tcW w:w="6080" w:type="dxa"/>
            <w:vAlign w:val="bottom"/>
            <w:tcBorders>
              <w:bottom w:val="single" w:sz="8" w:color="CCFFCC"/>
            </w:tcBorders>
          </w:tcPr>
          <w:p>
            <w:pPr>
              <w:ind w:left="20"/>
              <w:spacing w:after="0"/>
              <w:rPr>
                <w:sz w:val="20"/>
                <w:szCs w:val="20"/>
                <w:color w:val="auto"/>
              </w:rPr>
            </w:pPr>
            <w:r>
              <w:rPr>
                <w:rFonts w:ascii="Arial" w:cs="Arial" w:eastAsia="Arial" w:hAnsi="Arial"/>
                <w:sz w:val="14"/>
                <w:szCs w:val="14"/>
                <w:color w:val="auto"/>
              </w:rPr>
              <w:t xml:space="preserve">Other Americas </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1,883</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5,068</w:t>
            </w:r>
          </w:p>
        </w:tc>
        <w:tc>
          <w:tcPr>
            <w:tcW w:w="100" w:type="dxa"/>
            <w:vAlign w:val="bottom"/>
            <w:tcBorders>
              <w:bottom w:val="single" w:sz="8" w:color="CCFFC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4,652</w:t>
            </w:r>
          </w:p>
        </w:tc>
      </w:tr>
      <w:tr>
        <w:trPr>
          <w:trHeight w:val="205"/>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Americas</w:t>
            </w:r>
          </w:p>
        </w:tc>
        <w:tc>
          <w:tcPr>
            <w:tcW w:w="260" w:type="dxa"/>
            <w:vAlign w:val="bottom"/>
            <w:tcBorders>
              <w:bottom w:val="single" w:sz="8" w:color="CCFFCC"/>
            </w:tcBorders>
            <w:shd w:val="clear" w:color="auto" w:fill="CCFFCC"/>
          </w:tcPr>
          <w:p>
            <w:pPr>
              <w:spacing w:after="0"/>
              <w:rPr>
                <w:sz w:val="17"/>
                <w:szCs w:val="17"/>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62,607</w:t>
            </w: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36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43,198</w:t>
            </w:r>
          </w:p>
        </w:tc>
        <w:tc>
          <w:tcPr>
            <w:tcW w:w="400" w:type="dxa"/>
            <w:vAlign w:val="bottom"/>
            <w:tcBorders>
              <w:bottom w:val="single" w:sz="8" w:color="CCFFCC"/>
            </w:tcBorders>
            <w:shd w:val="clear" w:color="auto" w:fill="CCFFCC"/>
          </w:tcPr>
          <w:p>
            <w:pPr>
              <w:spacing w:after="0"/>
              <w:rPr>
                <w:sz w:val="17"/>
                <w:szCs w:val="17"/>
                <w:color w:val="auto"/>
              </w:rPr>
            </w:pPr>
          </w:p>
        </w:tc>
        <w:tc>
          <w:tcPr>
            <w:tcW w:w="94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113,177</w:t>
            </w:r>
          </w:p>
        </w:tc>
        <w:tc>
          <w:tcPr>
            <w:tcW w:w="100" w:type="dxa"/>
            <w:vAlign w:val="bottom"/>
            <w:tcBorders>
              <w:bottom w:val="single" w:sz="8" w:color="CCFFCC"/>
            </w:tcBorders>
            <w:shd w:val="clear" w:color="auto" w:fill="CCFFCC"/>
          </w:tcPr>
          <w:p>
            <w:pPr>
              <w:spacing w:after="0"/>
              <w:rPr>
                <w:sz w:val="17"/>
                <w:szCs w:val="17"/>
                <w:color w:val="auto"/>
              </w:rPr>
            </w:pPr>
          </w:p>
        </w:tc>
        <w:tc>
          <w:tcPr>
            <w:tcW w:w="460" w:type="dxa"/>
            <w:vAlign w:val="bottom"/>
            <w:tcBorders>
              <w:bottom w:val="single" w:sz="8" w:color="CCFFCC"/>
            </w:tcBorders>
            <w:shd w:val="clear" w:color="auto" w:fill="CCFFCC"/>
          </w:tcPr>
          <w:p>
            <w:pPr>
              <w:spacing w:after="0"/>
              <w:rPr>
                <w:sz w:val="17"/>
                <w:szCs w:val="17"/>
                <w:color w:val="auto"/>
              </w:rPr>
            </w:pPr>
          </w:p>
        </w:tc>
        <w:tc>
          <w:tcPr>
            <w:tcW w:w="7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84,556</w:t>
            </w:r>
          </w:p>
        </w:tc>
      </w:tr>
      <w:tr>
        <w:trPr>
          <w:trHeight w:val="234"/>
        </w:trPr>
        <w:tc>
          <w:tcPr>
            <w:tcW w:w="6080" w:type="dxa"/>
            <w:vAlign w:val="bottom"/>
          </w:tcPr>
          <w:p>
            <w:pPr>
              <w:ind w:left="20"/>
              <w:spacing w:after="0" w:line="233" w:lineRule="exact"/>
              <w:rPr>
                <w:sz w:val="20"/>
                <w:szCs w:val="20"/>
                <w:color w:val="auto"/>
              </w:rPr>
            </w:pPr>
            <w:r>
              <w:rPr>
                <w:rFonts w:ascii="Arial" w:cs="Arial" w:eastAsia="Arial" w:hAnsi="Arial"/>
                <w:sz w:val="27"/>
                <w:szCs w:val="27"/>
                <w:color w:val="auto"/>
                <w:vertAlign w:val="subscript"/>
              </w:rPr>
              <w:t>EMEA</w:t>
            </w:r>
            <w:r>
              <w:rPr>
                <w:rFonts w:ascii="Arial" w:cs="Arial" w:eastAsia="Arial" w:hAnsi="Arial"/>
                <w:sz w:val="9"/>
                <w:szCs w:val="9"/>
                <w:color w:val="auto"/>
              </w:rPr>
              <w:t xml:space="preserve"> (2) (4)</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19,911</w:t>
            </w:r>
          </w:p>
        </w:tc>
        <w:tc>
          <w:tcPr>
            <w:tcW w:w="40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39,182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38,024</w:t>
            </w:r>
          </w:p>
        </w:tc>
      </w:tr>
      <w:tr>
        <w:trPr>
          <w:trHeight w:val="234"/>
        </w:trPr>
        <w:tc>
          <w:tcPr>
            <w:tcW w:w="6080" w:type="dxa"/>
            <w:vAlign w:val="bottom"/>
            <w:shd w:val="clear" w:color="auto" w:fill="CCFFCC"/>
          </w:tcPr>
          <w:p>
            <w:pPr>
              <w:ind w:left="20"/>
              <w:spacing w:after="0"/>
              <w:rPr>
                <w:sz w:val="20"/>
                <w:szCs w:val="20"/>
                <w:color w:val="auto"/>
              </w:rPr>
            </w:pPr>
            <w:r>
              <w:rPr>
                <w:rFonts w:ascii="Arial" w:cs="Arial" w:eastAsia="Arial" w:hAnsi="Arial"/>
                <w:sz w:val="14"/>
                <w:szCs w:val="14"/>
                <w:color w:val="auto"/>
              </w:rPr>
              <w:t xml:space="preserve">APAC </w:t>
            </w:r>
            <w:r>
              <w:rPr>
                <w:rFonts w:ascii="Arial" w:cs="Arial" w:eastAsia="Arial" w:hAnsi="Arial"/>
                <w:sz w:val="18"/>
                <w:szCs w:val="18"/>
                <w:color w:val="auto"/>
                <w:vertAlign w:val="superscript"/>
              </w:rPr>
              <w:t>(3)</w:t>
            </w:r>
          </w:p>
        </w:tc>
        <w:tc>
          <w:tcPr>
            <w:tcW w:w="26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9,304</w:t>
            </w:r>
          </w:p>
        </w:tc>
        <w:tc>
          <w:tcPr>
            <w:tcW w:w="100" w:type="dxa"/>
            <w:vAlign w:val="bottom"/>
            <w:tcBorders>
              <w:bottom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6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7,850</w:t>
            </w:r>
          </w:p>
        </w:tc>
        <w:tc>
          <w:tcPr>
            <w:tcW w:w="40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17,332</w:t>
            </w:r>
          </w:p>
        </w:tc>
        <w:tc>
          <w:tcPr>
            <w:tcW w:w="100" w:type="dxa"/>
            <w:vAlign w:val="bottom"/>
            <w:shd w:val="clear" w:color="auto" w:fill="CCFFCC"/>
          </w:tcPr>
          <w:p>
            <w:pPr>
              <w:spacing w:after="0"/>
              <w:rPr>
                <w:sz w:val="20"/>
                <w:szCs w:val="20"/>
                <w:color w:val="auto"/>
              </w:rPr>
            </w:pPr>
          </w:p>
        </w:tc>
        <w:tc>
          <w:tcPr>
            <w:tcW w:w="46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14,781</w:t>
            </w:r>
          </w:p>
        </w:tc>
      </w:tr>
      <w:tr>
        <w:trPr>
          <w:trHeight w:val="217"/>
        </w:trPr>
        <w:tc>
          <w:tcPr>
            <w:tcW w:w="6080" w:type="dxa"/>
            <w:vAlign w:val="bottom"/>
          </w:tcPr>
          <w:p>
            <w:pPr>
              <w:ind w:left="220"/>
              <w:spacing w:after="0"/>
              <w:rPr>
                <w:sz w:val="20"/>
                <w:szCs w:val="20"/>
                <w:color w:val="auto"/>
              </w:rPr>
            </w:pPr>
            <w:r>
              <w:rPr>
                <w:rFonts w:ascii="Arial" w:cs="Arial" w:eastAsia="Arial" w:hAnsi="Arial"/>
                <w:sz w:val="14"/>
                <w:szCs w:val="14"/>
                <w:color w:val="auto"/>
              </w:rPr>
              <w:t>Total revenue</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91,603</w:t>
            </w:r>
          </w:p>
        </w:tc>
        <w:tc>
          <w:tcPr>
            <w:tcW w:w="5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70,959</w:t>
            </w:r>
          </w:p>
        </w:tc>
        <w:tc>
          <w:tcPr>
            <w:tcW w:w="4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169,691</w:t>
            </w:r>
          </w:p>
        </w:tc>
        <w:tc>
          <w:tcPr>
            <w:tcW w:w="100" w:type="dxa"/>
            <w:vAlign w:val="bottom"/>
          </w:tcPr>
          <w:p>
            <w:pPr>
              <w:spacing w:after="0"/>
              <w:rPr>
                <w:sz w:val="18"/>
                <w:szCs w:val="18"/>
                <w:color w:val="auto"/>
              </w:rPr>
            </w:pPr>
          </w:p>
        </w:tc>
        <w:tc>
          <w:tcPr>
            <w:tcW w:w="4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137,361</w:t>
            </w: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47" w:hanging="147"/>
        <w:spacing w:after="0"/>
        <w:tabs>
          <w:tab w:leader="none" w:pos="147"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Canada, Latin America and South America</w:t>
      </w:r>
    </w:p>
    <w:p>
      <w:pPr>
        <w:ind w:left="147" w:hanging="147"/>
        <w:spacing w:after="0" w:line="200" w:lineRule="auto"/>
        <w:tabs>
          <w:tab w:leader="none" w:pos="147"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Europe, the Middle East and Africa (“EMEA”)</w:t>
      </w:r>
    </w:p>
    <w:p>
      <w:pPr>
        <w:ind w:left="147" w:hanging="147"/>
        <w:spacing w:after="0" w:line="200" w:lineRule="auto"/>
        <w:tabs>
          <w:tab w:leader="none" w:pos="147"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Asia-Pacific (“APAC”)</w:t>
      </w:r>
    </w:p>
    <w:p>
      <w:pPr>
        <w:ind w:left="7" w:right="120" w:hanging="7"/>
        <w:spacing w:after="0" w:line="234" w:lineRule="auto"/>
        <w:tabs>
          <w:tab w:leader="none" w:pos="151"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Includes revenues from the United Kingdom of $12.5 million and $13.0 million for the three months ended June 30, 2020 and 2019, respectively, and from the Netherlands of $0.6 million and $2.5 million for the three months ended June 30, 2020 and 2019, respectively. Includes revenues from the United Kingdom of $25.1 million and $24.7 million for the six months ended June 30, 2020 and 2019, respectively, and from Netherlands of $1.9 million and $5.0 million for the six months ended June 30, 2020 and 2019, respectively.</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Information about Contract Balances</w:t>
      </w:r>
    </w:p>
    <w:p>
      <w:pPr>
        <w:spacing w:after="0" w:line="190" w:lineRule="exact"/>
        <w:rPr>
          <w:sz w:val="20"/>
          <w:szCs w:val="20"/>
          <w:color w:val="auto"/>
        </w:rPr>
      </w:pPr>
    </w:p>
    <w:p>
      <w:pPr>
        <w:jc w:val="both"/>
        <w:ind w:left="7" w:right="20" w:firstLine="561"/>
        <w:spacing w:after="0" w:line="263" w:lineRule="auto"/>
        <w:rPr>
          <w:sz w:val="20"/>
          <w:szCs w:val="20"/>
          <w:color w:val="auto"/>
        </w:rPr>
      </w:pPr>
      <w:r>
        <w:rPr>
          <w:rFonts w:ascii="Arial" w:cs="Arial" w:eastAsia="Arial" w:hAnsi="Arial"/>
          <w:sz w:val="16"/>
          <w:szCs w:val="16"/>
          <w:color w:val="auto"/>
        </w:rPr>
        <w:t xml:space="preserve">Amounts collected in advance of services being provided are accounted for as deferred revenue. Nearly all of the Company's deferred revenue balance is related to </w:t>
      </w:r>
      <w:r>
        <w:rPr>
          <w:rFonts w:ascii="Arial" w:cs="Arial" w:eastAsia="Arial" w:hAnsi="Arial"/>
          <w:sz w:val="16"/>
          <w:szCs w:val="16"/>
          <w:i w:val="1"/>
          <w:iCs w:val="1"/>
          <w:color w:val="auto"/>
        </w:rPr>
        <w:t>Hosted</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 Business Revenue.</w:t>
      </w:r>
    </w:p>
    <w:p>
      <w:pPr>
        <w:spacing w:after="0" w:line="64" w:lineRule="exact"/>
        <w:rPr>
          <w:sz w:val="20"/>
          <w:szCs w:val="20"/>
          <w:color w:val="auto"/>
        </w:rPr>
      </w:pPr>
    </w:p>
    <w:p>
      <w:pPr>
        <w:jc w:val="both"/>
        <w:ind w:left="7" w:firstLine="561"/>
        <w:spacing w:after="0" w:line="297" w:lineRule="auto"/>
        <w:rPr>
          <w:sz w:val="20"/>
          <w:szCs w:val="20"/>
          <w:color w:val="auto"/>
        </w:rPr>
      </w:pPr>
      <w:r>
        <w:rPr>
          <w:rFonts w:ascii="Arial" w:cs="Arial" w:eastAsia="Arial" w:hAnsi="Arial"/>
          <w:sz w:val="14"/>
          <w:szCs w:val="14"/>
          <w:color w:val="auto"/>
        </w:rPr>
        <w:t>In some arrangements, the Company allows customers to pay for access to LiveEngage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 Contract acquisition costs represent prepaid sales commissions. The opening and closing balances of the Company's accounts receivable, unbilled receivables, contract acquisition costs and deferred revenues are as follows (amounts in thousands):</w:t>
      </w:r>
    </w:p>
    <w:p>
      <w:pPr>
        <w:spacing w:after="0" w:line="168"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 xml:space="preserve">Accounts Receivable </w:t>
            </w:r>
            <w:r>
              <w:rPr>
                <w:rFonts w:ascii="Arial" w:cs="Arial" w:eastAsia="Arial" w:hAnsi="Arial"/>
                <w:sz w:val="7"/>
                <w:szCs w:val="7"/>
                <w:b w:val="1"/>
                <w:bCs w:val="1"/>
                <w:color w:val="auto"/>
              </w:rPr>
              <w:t>(1)</w:t>
            </w:r>
          </w:p>
        </w:tc>
        <w:tc>
          <w:tcPr>
            <w:tcW w:w="10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 xml:space="preserve">Unbilled Receivable </w:t>
            </w:r>
            <w:r>
              <w:rPr>
                <w:rFonts w:ascii="Arial" w:cs="Arial" w:eastAsia="Arial" w:hAnsi="Arial"/>
                <w:sz w:val="7"/>
                <w:szCs w:val="7"/>
                <w:b w:val="1"/>
                <w:bCs w:val="1"/>
                <w:color w:val="auto"/>
              </w:rPr>
              <w:t>(1)</w:t>
            </w:r>
          </w:p>
        </w:tc>
        <w:tc>
          <w:tcPr>
            <w:tcW w:w="120" w:type="dxa"/>
            <w:vAlign w:val="bottom"/>
          </w:tcPr>
          <w:p>
            <w:pPr>
              <w:spacing w:after="0"/>
              <w:rPr>
                <w:sz w:val="12"/>
                <w:szCs w:val="12"/>
                <w:color w:val="auto"/>
              </w:rPr>
            </w:pPr>
          </w:p>
        </w:tc>
        <w:tc>
          <w:tcPr>
            <w:tcW w:w="1260" w:type="dxa"/>
            <w:vAlign w:val="bottom"/>
          </w:tcPr>
          <w:p>
            <w:pPr>
              <w:jc w:val="right"/>
              <w:ind w:right="73"/>
              <w:spacing w:after="0"/>
              <w:rPr>
                <w:sz w:val="20"/>
                <w:szCs w:val="20"/>
                <w:color w:val="auto"/>
              </w:rPr>
            </w:pPr>
            <w:r>
              <w:rPr>
                <w:rFonts w:ascii="Arial" w:cs="Arial" w:eastAsia="Arial" w:hAnsi="Arial"/>
                <w:sz w:val="12"/>
                <w:szCs w:val="12"/>
                <w:b w:val="1"/>
                <w:bCs w:val="1"/>
                <w:color w:val="auto"/>
                <w:w w:val="93"/>
              </w:rPr>
              <w:t>Contract Acquisition</w:t>
            </w:r>
          </w:p>
        </w:tc>
        <w:tc>
          <w:tcPr>
            <w:tcW w:w="220" w:type="dxa"/>
            <w:vAlign w:val="bottom"/>
          </w:tcPr>
          <w:p>
            <w:pPr>
              <w:spacing w:after="0"/>
              <w:rPr>
                <w:sz w:val="12"/>
                <w:szCs w:val="12"/>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Deferred Revenue</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w w:val="94"/>
              </w:rPr>
              <w:t>Deferred Revenue (long</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173"/>
              <w:spacing w:after="0"/>
              <w:rPr>
                <w:sz w:val="20"/>
                <w:szCs w:val="20"/>
                <w:color w:val="auto"/>
              </w:rPr>
            </w:pPr>
            <w:r>
              <w:rPr>
                <w:rFonts w:ascii="Arial" w:cs="Arial" w:eastAsia="Arial" w:hAnsi="Arial"/>
                <w:sz w:val="12"/>
                <w:szCs w:val="12"/>
                <w:b w:val="1"/>
                <w:bCs w:val="1"/>
                <w:color w:val="auto"/>
                <w:w w:val="99"/>
              </w:rPr>
              <w:t>Costs noncurrent</w:t>
            </w:r>
          </w:p>
        </w:tc>
        <w:tc>
          <w:tcPr>
            <w:tcW w:w="2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(current)</w:t>
            </w:r>
          </w:p>
        </w:tc>
        <w:tc>
          <w:tcPr>
            <w:tcW w:w="30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2"/>
                <w:szCs w:val="12"/>
                <w:b w:val="1"/>
                <w:bCs w:val="1"/>
                <w:color w:val="auto"/>
              </w:rPr>
              <w:t>term)</w:t>
            </w:r>
          </w:p>
        </w:tc>
        <w:tc>
          <w:tcPr>
            <w:tcW w:w="0" w:type="dxa"/>
            <w:vAlign w:val="bottom"/>
          </w:tcPr>
          <w:p>
            <w:pPr>
              <w:spacing w:after="0"/>
              <w:rPr>
                <w:sz w:val="1"/>
                <w:szCs w:val="1"/>
                <w:color w:val="auto"/>
              </w:rPr>
            </w:pPr>
          </w:p>
        </w:tc>
      </w:tr>
      <w:tr>
        <w:trPr>
          <w:trHeight w:val="211"/>
        </w:trPr>
        <w:tc>
          <w:tcPr>
            <w:tcW w:w="40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Opening Balance as of December 31, 2019</w:t>
            </w:r>
          </w:p>
        </w:tc>
        <w:tc>
          <w:tcPr>
            <w:tcW w:w="480" w:type="dxa"/>
            <w:vAlign w:val="bottom"/>
            <w:tcBorders>
              <w:top w:val="single" w:sz="8" w:color="auto"/>
              <w:bottom w:val="single" w:sz="8" w:color="CCFFCC"/>
            </w:tcBorders>
            <w:shd w:val="clear" w:color="auto" w:fill="CCFFCC"/>
          </w:tcPr>
          <w:p>
            <w:pPr>
              <w:jc w:val="right"/>
              <w:ind w:right="313"/>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70,318</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CCFFCC"/>
            </w:tcBorders>
            <w:shd w:val="clear" w:color="auto" w:fill="CCFFCC"/>
          </w:tcPr>
          <w:p>
            <w:pPr>
              <w:jc w:val="right"/>
              <w:ind w:right="32"/>
              <w:spacing w:after="0"/>
              <w:rPr>
                <w:sz w:val="20"/>
                <w:szCs w:val="20"/>
                <w:color w:val="auto"/>
              </w:rPr>
            </w:pPr>
            <w:r>
              <w:rPr>
                <w:rFonts w:ascii="Arial" w:cs="Arial" w:eastAsia="Arial" w:hAnsi="Arial"/>
                <w:sz w:val="14"/>
                <w:szCs w:val="14"/>
                <w:color w:val="auto"/>
              </w:rPr>
              <w:t>17,302</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31,965</w:t>
            </w:r>
          </w:p>
        </w:tc>
        <w:tc>
          <w:tcPr>
            <w:tcW w:w="2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CCFFCC"/>
            </w:tcBorders>
            <w:shd w:val="clear" w:color="auto" w:fill="CCFFCC"/>
          </w:tcPr>
          <w:p>
            <w:pPr>
              <w:jc w:val="right"/>
              <w:ind w:right="33"/>
              <w:spacing w:after="0"/>
              <w:rPr>
                <w:sz w:val="20"/>
                <w:szCs w:val="20"/>
                <w:color w:val="auto"/>
              </w:rPr>
            </w:pPr>
            <w:r>
              <w:rPr>
                <w:rFonts w:ascii="Arial" w:cs="Arial" w:eastAsia="Arial" w:hAnsi="Arial"/>
                <w:sz w:val="14"/>
                <w:szCs w:val="14"/>
                <w:color w:val="auto"/>
              </w:rPr>
              <w:t>88,751</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6"/>
        </w:trPr>
        <w:tc>
          <w:tcPr>
            <w:tcW w:w="4060" w:type="dxa"/>
            <w:vAlign w:val="bottom"/>
          </w:tcPr>
          <w:p>
            <w:pPr>
              <w:ind w:left="140"/>
              <w:spacing w:after="0"/>
              <w:rPr>
                <w:sz w:val="20"/>
                <w:szCs w:val="20"/>
                <w:color w:val="auto"/>
              </w:rPr>
            </w:pPr>
            <w:r>
              <w:rPr>
                <w:rFonts w:ascii="Arial" w:cs="Arial" w:eastAsia="Arial" w:hAnsi="Arial"/>
                <w:sz w:val="14"/>
                <w:szCs w:val="14"/>
                <w:color w:val="auto"/>
              </w:rPr>
              <w:t>(Decrease) Increase, net</w:t>
            </w: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3"/>
              <w:spacing w:after="0"/>
              <w:rPr>
                <w:sz w:val="20"/>
                <w:szCs w:val="20"/>
                <w:color w:val="auto"/>
              </w:rPr>
            </w:pPr>
            <w:r>
              <w:rPr>
                <w:rFonts w:ascii="Arial" w:cs="Arial" w:eastAsia="Arial" w:hAnsi="Arial"/>
                <w:sz w:val="14"/>
                <w:szCs w:val="14"/>
                <w:color w:val="auto"/>
              </w:rPr>
              <w:t>4,178</w:t>
            </w:r>
          </w:p>
        </w:tc>
        <w:tc>
          <w:tcPr>
            <w:tcW w:w="220" w:type="dxa"/>
            <w:vAlign w:val="bottom"/>
          </w:tcPr>
          <w:p>
            <w:pPr>
              <w:spacing w:after="0"/>
              <w:rPr>
                <w:sz w:val="17"/>
                <w:szCs w:val="17"/>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3,339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r>
        <w:trPr>
          <w:trHeight w:val="28"/>
        </w:trPr>
        <w:tc>
          <w:tcPr>
            <w:tcW w:w="406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Ending Balance as of June 30, 2020</w:t>
            </w:r>
          </w:p>
        </w:tc>
        <w:tc>
          <w:tcPr>
            <w:tcW w:w="480" w:type="dxa"/>
            <w:vAlign w:val="bottom"/>
            <w:tcBorders>
              <w:bottom w:val="single" w:sz="8" w:color="auto"/>
            </w:tcBorders>
            <w:shd w:val="clear" w:color="auto" w:fill="CCFFCC"/>
          </w:tcPr>
          <w:p>
            <w:pPr>
              <w:jc w:val="right"/>
              <w:ind w:right="31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62,096</w:t>
            </w: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13,091</w:t>
            </w:r>
          </w:p>
        </w:tc>
        <w:tc>
          <w:tcPr>
            <w:tcW w:w="1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FFCC"/>
          </w:tcPr>
          <w:p>
            <w:pPr>
              <w:jc w:val="right"/>
              <w:ind w:right="53"/>
              <w:spacing w:after="0"/>
              <w:rPr>
                <w:sz w:val="20"/>
                <w:szCs w:val="20"/>
                <w:color w:val="auto"/>
              </w:rPr>
            </w:pPr>
            <w:r>
              <w:rPr>
                <w:rFonts w:ascii="Arial" w:cs="Arial" w:eastAsia="Arial" w:hAnsi="Arial"/>
                <w:sz w:val="14"/>
                <w:szCs w:val="14"/>
                <w:color w:val="auto"/>
              </w:rPr>
              <w:t>36,143</w:t>
            </w:r>
          </w:p>
        </w:tc>
        <w:tc>
          <w:tcPr>
            <w:tcW w:w="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4"/>
                <w:szCs w:val="14"/>
                <w:color w:val="auto"/>
              </w:rPr>
              <w:t>92,090</w:t>
            </w:r>
          </w:p>
        </w:tc>
        <w:tc>
          <w:tcPr>
            <w:tcW w:w="10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3,122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7"/>
          </w:cols>
          <w:pgMar w:left="313" w:top="170" w:right="319" w:bottom="1440" w:gutter="0" w:footer="0" w:header="0"/>
        </w:sectPr>
      </w:pPr>
    </w:p>
    <w:bookmarkStart w:id="17" w:name="page18"/>
    <w:bookmarkEnd w:id="17"/>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107" w:hanging="107"/>
        <w:spacing w:after="0"/>
        <w:tabs>
          <w:tab w:leader="none" w:pos="107" w:val="left"/>
        </w:tabs>
        <w:numPr>
          <w:ilvl w:val="0"/>
          <w:numId w:val="10"/>
        </w:numPr>
        <w:rPr>
          <w:rFonts w:ascii="Arial" w:cs="Arial" w:eastAsia="Arial" w:hAnsi="Arial"/>
          <w:sz w:val="13"/>
          <w:szCs w:val="13"/>
          <w:b w:val="1"/>
          <w:bCs w:val="1"/>
          <w:color w:val="auto"/>
          <w:vertAlign w:val="superscript"/>
        </w:rPr>
      </w:pPr>
      <w:r>
        <w:rPr>
          <w:rFonts w:ascii="Arial" w:cs="Arial" w:eastAsia="Arial" w:hAnsi="Arial"/>
          <w:sz w:val="13"/>
          <w:szCs w:val="13"/>
          <w:color w:val="auto"/>
        </w:rPr>
        <w:t>These accounts include the $0.7 million adjustment in connection with the adoption of ASU 2016-13 (Topic 326).</w:t>
      </w:r>
    </w:p>
    <w:p>
      <w:pPr>
        <w:spacing w:after="0" w:line="22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Accounts Receivable, Net</w:t>
      </w:r>
    </w:p>
    <w:p>
      <w:pPr>
        <w:spacing w:after="0" w:line="190" w:lineRule="exact"/>
        <w:rPr>
          <w:sz w:val="20"/>
          <w:szCs w:val="20"/>
          <w:color w:val="auto"/>
        </w:rPr>
      </w:pPr>
    </w:p>
    <w:p>
      <w:pPr>
        <w:jc w:val="both"/>
        <w:ind w:left="7" w:firstLine="561"/>
        <w:spacing w:after="0" w:line="292" w:lineRule="auto"/>
        <w:rPr>
          <w:sz w:val="20"/>
          <w:szCs w:val="20"/>
          <w:color w:val="auto"/>
        </w:rPr>
      </w:pPr>
      <w:r>
        <w:rPr>
          <w:rFonts w:ascii="Arial" w:cs="Arial" w:eastAsia="Arial" w:hAnsi="Arial"/>
          <w:sz w:val="14"/>
          <w:szCs w:val="14"/>
          <w:color w:val="auto"/>
        </w:rPr>
        <w:t>The timing of revenue recognition, billings and cash collections results in billed accounts receivable, unbilled receivables (contract assets), and customer advances and deposits (contract liabilities, which are included in accrued liabilities and other long-term liabilities) on the condensed consolidated balance sheet. Under the typical payment terms of our over time contracts, the customer pays us either performance-based payments or progress payments. Amounts billed and due from our customers are classified as receivables on the condensed consolidated balance sheet. Accounts receivable is presented net of an allowance for doubtful accounts and sales reserve of $4.4 million and $2.9 million at June 30, 2020, respectively and $3.1 million and $1.1 million at December 31, 2019, respectively.</w:t>
      </w:r>
    </w:p>
    <w:p>
      <w:pPr>
        <w:spacing w:after="0" w:line="49" w:lineRule="exact"/>
        <w:rPr>
          <w:sz w:val="20"/>
          <w:szCs w:val="20"/>
          <w:color w:val="auto"/>
        </w:rPr>
      </w:pPr>
    </w:p>
    <w:p>
      <w:pPr>
        <w:jc w:val="both"/>
        <w:ind w:left="7" w:firstLine="561"/>
        <w:spacing w:after="0" w:line="289" w:lineRule="auto"/>
        <w:rPr>
          <w:sz w:val="20"/>
          <w:szCs w:val="20"/>
          <w:color w:val="auto"/>
        </w:rPr>
      </w:pPr>
      <w:r>
        <w:rPr>
          <w:rFonts w:ascii="Arial" w:cs="Arial" w:eastAsia="Arial" w:hAnsi="Arial"/>
          <w:sz w:val="14"/>
          <w:szCs w:val="14"/>
          <w:color w:val="auto"/>
        </w:rPr>
        <w:t>An allowance for doubtful accounts is established to recognize expected credit losses on accounts receivable balances. Judgment is required in the estimation of the allowance and the Company evaluates the collectability of its accounts receivable based on a combination of factors. If the Company becomes aware of a customer’s inability to meet its financial obligations, a specific allowance is recorded to reduce the net receivable to the amount reasonably believed to be collectible from the customer. For all other customers, the Company uses an aging schedule and recognize allowances for doubtful accounts based on the creditworthiness of the debtor, the age and status of outstanding receivables, the current business environment and its historical collection experience adjusted for current expectations for the customers or industry. Accounts receivable are written off against the allowance for uncollectible accounts when the Company determines amounts are no longer collectible.</w:t>
      </w:r>
    </w:p>
    <w:p>
      <w:pPr>
        <w:spacing w:after="0" w:line="257" w:lineRule="exact"/>
        <w:rPr>
          <w:sz w:val="20"/>
          <w:szCs w:val="20"/>
          <w:color w:val="auto"/>
        </w:rPr>
      </w:pPr>
    </w:p>
    <w:tbl>
      <w:tblPr>
        <w:tblLayout w:type="fixed"/>
        <w:tblInd w:w="7"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Allowance for doubtful accounts (in thousands):</w:t>
            </w:r>
          </w:p>
        </w:tc>
        <w:tc>
          <w:tcPr>
            <w:tcW w:w="6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192"/>
              <w:spacing w:after="0"/>
              <w:rPr>
                <w:sz w:val="20"/>
                <w:szCs w:val="20"/>
                <w:color w:val="auto"/>
              </w:rPr>
            </w:pPr>
            <w:r>
              <w:rPr>
                <w:rFonts w:ascii="Arial" w:cs="Arial" w:eastAsia="Arial" w:hAnsi="Arial"/>
                <w:sz w:val="12"/>
                <w:szCs w:val="12"/>
                <w:b w:val="1"/>
                <w:bCs w:val="1"/>
                <w:color w:val="auto"/>
                <w:w w:val="98"/>
              </w:rPr>
              <w:t>As of June 30, 2020</w:t>
            </w:r>
          </w:p>
        </w:tc>
      </w:tr>
      <w:tr>
        <w:trPr>
          <w:trHeight w:val="38"/>
        </w:trPr>
        <w:tc>
          <w:tcPr>
            <w:tcW w:w="20" w:type="dxa"/>
            <w:vAlign w:val="bottom"/>
            <w:tcBorders>
              <w:bottom w:val="single" w:sz="8" w:color="CCFFCC"/>
            </w:tcBorders>
          </w:tcPr>
          <w:p>
            <w:pPr>
              <w:spacing w:after="0"/>
              <w:rPr>
                <w:sz w:val="3"/>
                <w:szCs w:val="3"/>
                <w:color w:val="auto"/>
              </w:rPr>
            </w:pPr>
          </w:p>
        </w:tc>
        <w:tc>
          <w:tcPr>
            <w:tcW w:w="2880" w:type="dxa"/>
            <w:vAlign w:val="bottom"/>
            <w:tcBorders>
              <w:bottom w:val="single" w:sz="8" w:color="CCFFCC"/>
            </w:tcBorders>
          </w:tcPr>
          <w:p>
            <w:pPr>
              <w:spacing w:after="0"/>
              <w:rPr>
                <w:sz w:val="3"/>
                <w:szCs w:val="3"/>
                <w:color w:val="auto"/>
              </w:rPr>
            </w:pPr>
          </w:p>
        </w:tc>
        <w:tc>
          <w:tcPr>
            <w:tcW w:w="6780" w:type="dxa"/>
            <w:vAlign w:val="bottom"/>
            <w:tcBorders>
              <w:bottom w:val="single" w:sz="8" w:color="CCFFC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94"/>
        </w:trPr>
        <w:tc>
          <w:tcPr>
            <w:tcW w:w="968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4"/>
                <w:szCs w:val="14"/>
                <w:color w:val="auto"/>
              </w:rPr>
              <w:t>Balance at beginning of year, as adjusted for the adoption of ASU 2016-13 (Topic 326)</w:t>
            </w:r>
          </w:p>
        </w:tc>
        <w:tc>
          <w:tcPr>
            <w:tcW w:w="2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3,799</w:t>
            </w:r>
          </w:p>
        </w:tc>
      </w:tr>
      <w:tr>
        <w:trPr>
          <w:trHeight w:val="194"/>
        </w:trPr>
        <w:tc>
          <w:tcPr>
            <w:tcW w:w="20" w:type="dxa"/>
            <w:vAlign w:val="bottom"/>
          </w:tcPr>
          <w:p>
            <w:pPr>
              <w:spacing w:after="0"/>
              <w:rPr>
                <w:sz w:val="16"/>
                <w:szCs w:val="16"/>
                <w:color w:val="auto"/>
              </w:rPr>
            </w:pPr>
          </w:p>
        </w:tc>
        <w:tc>
          <w:tcPr>
            <w:tcW w:w="9660" w:type="dxa"/>
            <w:vAlign w:val="bottom"/>
            <w:gridSpan w:val="2"/>
          </w:tcPr>
          <w:p>
            <w:pPr>
              <w:ind w:left="120"/>
              <w:spacing w:after="0"/>
              <w:rPr>
                <w:sz w:val="20"/>
                <w:szCs w:val="20"/>
                <w:color w:val="auto"/>
              </w:rPr>
            </w:pPr>
            <w:r>
              <w:rPr>
                <w:rFonts w:ascii="Arial" w:cs="Arial" w:eastAsia="Arial" w:hAnsi="Arial"/>
                <w:sz w:val="14"/>
                <w:szCs w:val="14"/>
                <w:color w:val="auto"/>
              </w:rPr>
              <w:t>Accruals for credit loss charged to expense, net</w:t>
            </w:r>
          </w:p>
        </w:tc>
        <w:tc>
          <w:tcPr>
            <w:tcW w:w="200" w:type="dxa"/>
            <w:vAlign w:val="bottom"/>
          </w:tcPr>
          <w:p>
            <w:pPr>
              <w:spacing w:after="0"/>
              <w:rPr>
                <w:sz w:val="16"/>
                <w:szCs w:val="16"/>
                <w:color w:val="auto"/>
              </w:rPr>
            </w:pPr>
          </w:p>
        </w:tc>
        <w:tc>
          <w:tcPr>
            <w:tcW w:w="1380" w:type="dxa"/>
            <w:vAlign w:val="bottom"/>
          </w:tcPr>
          <w:p>
            <w:pPr>
              <w:jc w:val="right"/>
              <w:ind w:right="52"/>
              <w:spacing w:after="0"/>
              <w:rPr>
                <w:sz w:val="20"/>
                <w:szCs w:val="20"/>
                <w:color w:val="auto"/>
              </w:rPr>
            </w:pPr>
            <w:r>
              <w:rPr>
                <w:rFonts w:ascii="Arial" w:cs="Arial" w:eastAsia="Arial" w:hAnsi="Arial"/>
                <w:sz w:val="14"/>
                <w:szCs w:val="14"/>
                <w:color w:val="auto"/>
              </w:rPr>
              <w:t>629</w:t>
            </w:r>
          </w:p>
        </w:tc>
      </w:tr>
      <w:tr>
        <w:trPr>
          <w:trHeight w:val="28"/>
        </w:trPr>
        <w:tc>
          <w:tcPr>
            <w:tcW w:w="20" w:type="dxa"/>
            <w:vAlign w:val="bottom"/>
            <w:tcBorders>
              <w:bottom w:val="single" w:sz="8" w:color="CCFFCC"/>
            </w:tcBorders>
          </w:tcPr>
          <w:p>
            <w:pPr>
              <w:spacing w:after="0"/>
              <w:rPr>
                <w:sz w:val="2"/>
                <w:szCs w:val="2"/>
                <w:color w:val="auto"/>
              </w:rPr>
            </w:pPr>
          </w:p>
        </w:tc>
        <w:tc>
          <w:tcPr>
            <w:tcW w:w="2880" w:type="dxa"/>
            <w:vAlign w:val="bottom"/>
            <w:tcBorders>
              <w:bottom w:val="single" w:sz="8" w:color="CCFFCC"/>
            </w:tcBorders>
          </w:tcPr>
          <w:p>
            <w:pPr>
              <w:spacing w:after="0"/>
              <w:rPr>
                <w:sz w:val="2"/>
                <w:szCs w:val="2"/>
                <w:color w:val="auto"/>
              </w:rPr>
            </w:pPr>
          </w:p>
        </w:tc>
        <w:tc>
          <w:tcPr>
            <w:tcW w:w="6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5"/>
        </w:trPr>
        <w:tc>
          <w:tcPr>
            <w:tcW w:w="968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4"/>
                <w:szCs w:val="14"/>
                <w:color w:val="auto"/>
              </w:rPr>
              <w:t>Balance at end of period</w:t>
            </w:r>
          </w:p>
        </w:tc>
        <w:tc>
          <w:tcPr>
            <w:tcW w:w="2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4,428</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3. Net Loss Per Share</w:t>
      </w:r>
    </w:p>
    <w:p>
      <w:pPr>
        <w:spacing w:after="0" w:line="194" w:lineRule="exact"/>
        <w:rPr>
          <w:sz w:val="20"/>
          <w:szCs w:val="20"/>
          <w:color w:val="auto"/>
        </w:rPr>
      </w:pPr>
    </w:p>
    <w:p>
      <w:pPr>
        <w:jc w:val="both"/>
        <w:ind w:left="7" w:firstLine="561"/>
        <w:spacing w:after="0" w:line="292" w:lineRule="auto"/>
        <w:rPr>
          <w:sz w:val="20"/>
          <w:szCs w:val="20"/>
          <w:color w:val="auto"/>
        </w:rPr>
      </w:pPr>
      <w:r>
        <w:rPr>
          <w:rFonts w:ascii="Arial" w:cs="Arial" w:eastAsia="Arial" w:hAnsi="Arial"/>
          <w:sz w:val="14"/>
          <w:szCs w:val="14"/>
          <w:color w:val="auto"/>
        </w:rPr>
        <w:t>The Company calculates earnings per share (“EPS”) in accordance with the provisions of ASC 260-10. Under the guidance,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49" w:lineRule="exact"/>
        <w:rPr>
          <w:sz w:val="20"/>
          <w:szCs w:val="20"/>
          <w:color w:val="auto"/>
        </w:rPr>
      </w:pPr>
    </w:p>
    <w:p>
      <w:pPr>
        <w:jc w:val="both"/>
        <w:ind w:left="7" w:firstLine="561"/>
        <w:spacing w:after="0" w:line="253" w:lineRule="auto"/>
        <w:rPr>
          <w:sz w:val="20"/>
          <w:szCs w:val="20"/>
          <w:color w:val="auto"/>
        </w:rPr>
      </w:pPr>
      <w:r>
        <w:rPr>
          <w:rFonts w:ascii="Arial" w:cs="Arial" w:eastAsia="Arial" w:hAnsi="Arial"/>
          <w:sz w:val="16"/>
          <w:szCs w:val="16"/>
          <w:color w:val="auto"/>
        </w:rPr>
        <w:t>Diluted net loss per common share for the three and six months ended June 30, 2020 does not include the effect of 8,831,790 outstanding common stock awards, as the effect of their inclusion is anti-dilutive. Diluted net loss per common share for the three and six months ended June 30, 2019 does not include the effect of 9,286,508 outstanding common stock awards, as the effect of their inclusion is anti-dilutive.</w:t>
      </w:r>
    </w:p>
    <w:p>
      <w:pPr>
        <w:spacing w:after="0" w:line="72" w:lineRule="exact"/>
        <w:rPr>
          <w:sz w:val="20"/>
          <w:szCs w:val="20"/>
          <w:color w:val="auto"/>
        </w:rPr>
      </w:pPr>
    </w:p>
    <w:p>
      <w:pPr>
        <w:ind w:left="567"/>
        <w:spacing w:after="0"/>
        <w:rPr>
          <w:sz w:val="20"/>
          <w:szCs w:val="20"/>
          <w:color w:val="auto"/>
        </w:rPr>
      </w:pPr>
      <w:r>
        <w:rPr>
          <w:rFonts w:ascii="Arial" w:cs="Arial" w:eastAsia="Arial" w:hAnsi="Arial"/>
          <w:sz w:val="16"/>
          <w:szCs w:val="16"/>
          <w:color w:val="auto"/>
        </w:rPr>
        <w:t>A reconciliation of shares used in calculating basic and diluted net loss per share follows:</w:t>
      </w:r>
    </w:p>
    <w:p>
      <w:pPr>
        <w:spacing w:after="0" w:line="288"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480" w:type="dxa"/>
            <w:vAlign w:val="bottom"/>
            <w:gridSpan w:val="4"/>
          </w:tcPr>
          <w:p>
            <w:pPr>
              <w:jc w:val="center"/>
              <w:ind w:right="72"/>
              <w:spacing w:after="0"/>
              <w:rPr>
                <w:sz w:val="20"/>
                <w:szCs w:val="20"/>
                <w:color w:val="auto"/>
              </w:rPr>
            </w:pPr>
            <w:r>
              <w:rPr>
                <w:rFonts w:ascii="Arial" w:cs="Arial" w:eastAsia="Arial" w:hAnsi="Arial"/>
                <w:sz w:val="12"/>
                <w:szCs w:val="12"/>
                <w:b w:val="1"/>
                <w:bCs w:val="1"/>
                <w:color w:val="auto"/>
                <w:w w:val="96"/>
              </w:rPr>
              <w:t>Three Months Ended</w:t>
            </w:r>
          </w:p>
        </w:tc>
        <w:tc>
          <w:tcPr>
            <w:tcW w:w="2220" w:type="dxa"/>
            <w:vAlign w:val="bottom"/>
            <w:gridSpan w:val="4"/>
          </w:tcPr>
          <w:p>
            <w:pPr>
              <w:jc w:val="center"/>
              <w:spacing w:after="0"/>
              <w:rPr>
                <w:sz w:val="20"/>
                <w:szCs w:val="20"/>
                <w:color w:val="auto"/>
              </w:rPr>
            </w:pPr>
            <w:r>
              <w:rPr>
                <w:rFonts w:ascii="Arial" w:cs="Arial" w:eastAsia="Arial" w:hAnsi="Arial"/>
                <w:sz w:val="12"/>
                <w:szCs w:val="12"/>
                <w:b w:val="1"/>
                <w:bCs w:val="1"/>
                <w:color w:val="auto"/>
                <w:w w:val="94"/>
              </w:rPr>
              <w:t>Six Months Ended</w:t>
            </w:r>
          </w:p>
        </w:tc>
      </w:tr>
      <w:tr>
        <w:trPr>
          <w:trHeight w:val="239"/>
        </w:trPr>
        <w:tc>
          <w:tcPr>
            <w:tcW w:w="6220" w:type="dxa"/>
            <w:vAlign w:val="bottom"/>
          </w:tcPr>
          <w:p>
            <w:pPr>
              <w:spacing w:after="0"/>
              <w:rPr>
                <w:sz w:val="20"/>
                <w:szCs w:val="20"/>
                <w:color w:val="auto"/>
              </w:rPr>
            </w:pPr>
          </w:p>
        </w:tc>
        <w:tc>
          <w:tcPr>
            <w:tcW w:w="1480" w:type="dxa"/>
            <w:vAlign w:val="bottom"/>
            <w:tcBorders>
              <w:bottom w:val="single" w:sz="8" w:color="auto"/>
            </w:tcBorders>
            <w:gridSpan w:val="3"/>
          </w:tcPr>
          <w:p>
            <w:pPr>
              <w:jc w:val="center"/>
              <w:ind w:left="774"/>
              <w:spacing w:after="0"/>
              <w:rPr>
                <w:sz w:val="20"/>
                <w:szCs w:val="20"/>
                <w:color w:val="auto"/>
              </w:rPr>
            </w:pPr>
            <w:r>
              <w:rPr>
                <w:rFonts w:ascii="Arial" w:cs="Arial" w:eastAsia="Arial" w:hAnsi="Arial"/>
                <w:sz w:val="12"/>
                <w:szCs w:val="12"/>
                <w:b w:val="1"/>
                <w:bCs w:val="1"/>
                <w:color w:val="auto"/>
                <w:w w:val="91"/>
              </w:rPr>
              <w:t>June 30,</w:t>
            </w:r>
          </w:p>
        </w:tc>
        <w:tc>
          <w:tcPr>
            <w:tcW w:w="10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2"/>
                <w:szCs w:val="12"/>
                <w:b w:val="1"/>
                <w:bCs w:val="1"/>
                <w:color w:val="auto"/>
                <w:w w:val="91"/>
              </w:rPr>
              <w:t>June 30,</w:t>
            </w:r>
          </w:p>
        </w:tc>
        <w:tc>
          <w:tcPr>
            <w:tcW w:w="820" w:type="dxa"/>
            <w:vAlign w:val="bottom"/>
            <w:tcBorders>
              <w:bottom w:val="single" w:sz="8" w:color="auto"/>
            </w:tcBorders>
          </w:tcPr>
          <w:p>
            <w:pPr>
              <w:spacing w:after="0"/>
              <w:rPr>
                <w:sz w:val="20"/>
                <w:szCs w:val="20"/>
                <w:color w:val="auto"/>
              </w:rPr>
            </w:pPr>
          </w:p>
        </w:tc>
      </w:tr>
      <w:tr>
        <w:trPr>
          <w:trHeight w:val="225"/>
        </w:trPr>
        <w:tc>
          <w:tcPr>
            <w:tcW w:w="6220" w:type="dxa"/>
            <w:vAlign w:val="bottom"/>
            <w:tcBorders>
              <w:bottom w:val="single" w:sz="8" w:color="CCFFCC"/>
            </w:tcBorders>
          </w:tcPr>
          <w:p>
            <w:pPr>
              <w:spacing w:after="0"/>
              <w:rPr>
                <w:sz w:val="19"/>
                <w:szCs w:val="19"/>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2019</w:t>
            </w: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rPr>
              <w:t>2019</w:t>
            </w:r>
          </w:p>
        </w:tc>
      </w:tr>
      <w:tr>
        <w:trPr>
          <w:trHeight w:val="211"/>
        </w:trPr>
        <w:tc>
          <w:tcPr>
            <w:tcW w:w="6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Basic</w:t>
            </w:r>
          </w:p>
        </w:tc>
        <w:tc>
          <w:tcPr>
            <w:tcW w:w="1100" w:type="dxa"/>
            <w:vAlign w:val="bottom"/>
            <w:tcBorders>
              <w:bottom w:val="single" w:sz="8" w:color="CCFFCC"/>
            </w:tcBorders>
            <w:shd w:val="clear" w:color="auto" w:fill="CCFFCC"/>
          </w:tcPr>
          <w:p>
            <w:pPr>
              <w:jc w:val="right"/>
              <w:ind w:right="34"/>
              <w:spacing w:after="0"/>
              <w:rPr>
                <w:sz w:val="20"/>
                <w:szCs w:val="20"/>
                <w:color w:val="auto"/>
              </w:rPr>
            </w:pPr>
            <w:r>
              <w:rPr>
                <w:rFonts w:ascii="Arial" w:cs="Arial" w:eastAsia="Arial" w:hAnsi="Arial"/>
                <w:sz w:val="14"/>
                <w:szCs w:val="14"/>
                <w:color w:val="auto"/>
              </w:rPr>
              <w:t>65,650,782</w:t>
            </w:r>
          </w:p>
        </w:tc>
        <w:tc>
          <w:tcPr>
            <w:tcW w:w="12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212"/>
              <w:spacing w:after="0"/>
              <w:rPr>
                <w:sz w:val="20"/>
                <w:szCs w:val="20"/>
                <w:color w:val="auto"/>
              </w:rPr>
            </w:pPr>
            <w:r>
              <w:rPr>
                <w:rFonts w:ascii="Arial" w:cs="Arial" w:eastAsia="Arial" w:hAnsi="Arial"/>
                <w:sz w:val="14"/>
                <w:szCs w:val="14"/>
                <w:color w:val="auto"/>
                <w:w w:val="99"/>
              </w:rPr>
              <w:t>62,350,787</w:t>
            </w:r>
          </w:p>
        </w:tc>
        <w:tc>
          <w:tcPr>
            <w:tcW w:w="1020" w:type="dxa"/>
            <w:vAlign w:val="bottom"/>
            <w:tcBorders>
              <w:bottom w:val="single" w:sz="8" w:color="CCFFCC"/>
            </w:tcBorders>
            <w:shd w:val="clear" w:color="auto" w:fill="CCFFCC"/>
          </w:tcPr>
          <w:p>
            <w:pPr>
              <w:jc w:val="right"/>
              <w:ind w:right="34"/>
              <w:spacing w:after="0"/>
              <w:rPr>
                <w:sz w:val="20"/>
                <w:szCs w:val="20"/>
                <w:color w:val="auto"/>
              </w:rPr>
            </w:pPr>
            <w:r>
              <w:rPr>
                <w:rFonts w:ascii="Arial" w:cs="Arial" w:eastAsia="Arial" w:hAnsi="Arial"/>
                <w:sz w:val="14"/>
                <w:szCs w:val="14"/>
                <w:color w:val="auto"/>
              </w:rPr>
              <w:t>65,023,302</w:t>
            </w:r>
          </w:p>
        </w:tc>
        <w:tc>
          <w:tcPr>
            <w:tcW w:w="10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4"/>
                <w:szCs w:val="14"/>
                <w:color w:val="auto"/>
                <w:w w:val="99"/>
              </w:rPr>
              <w:t>61,899,072</w:t>
            </w:r>
          </w:p>
        </w:tc>
      </w:tr>
      <w:tr>
        <w:trPr>
          <w:trHeight w:val="206"/>
        </w:trPr>
        <w:tc>
          <w:tcPr>
            <w:tcW w:w="6220" w:type="dxa"/>
            <w:vAlign w:val="bottom"/>
          </w:tcPr>
          <w:p>
            <w:pPr>
              <w:ind w:left="20"/>
              <w:spacing w:after="0"/>
              <w:rPr>
                <w:sz w:val="20"/>
                <w:szCs w:val="20"/>
                <w:color w:val="auto"/>
              </w:rPr>
            </w:pPr>
            <w:r>
              <w:rPr>
                <w:rFonts w:ascii="Arial" w:cs="Arial" w:eastAsia="Arial" w:hAnsi="Arial"/>
                <w:sz w:val="14"/>
                <w:szCs w:val="14"/>
                <w:color w:val="auto"/>
              </w:rPr>
              <w:t>Effect of assumed exercised options</w:t>
            </w:r>
          </w:p>
        </w:tc>
        <w:tc>
          <w:tcPr>
            <w:tcW w:w="14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8"/>
        </w:trPr>
        <w:tc>
          <w:tcPr>
            <w:tcW w:w="6220" w:type="dxa"/>
            <w:vAlign w:val="bottom"/>
            <w:tcBorders>
              <w:bottom w:val="single" w:sz="8" w:color="CCFFC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6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Diluted</w:t>
            </w:r>
          </w:p>
        </w:tc>
        <w:tc>
          <w:tcPr>
            <w:tcW w:w="1100" w:type="dxa"/>
            <w:vAlign w:val="bottom"/>
            <w:tcBorders>
              <w:bottom w:val="single" w:sz="8" w:color="auto"/>
            </w:tcBorders>
            <w:shd w:val="clear" w:color="auto" w:fill="CCFFCC"/>
          </w:tcPr>
          <w:p>
            <w:pPr>
              <w:jc w:val="right"/>
              <w:ind w:right="34"/>
              <w:spacing w:after="0"/>
              <w:rPr>
                <w:sz w:val="20"/>
                <w:szCs w:val="20"/>
                <w:color w:val="auto"/>
              </w:rPr>
            </w:pPr>
            <w:r>
              <w:rPr>
                <w:rFonts w:ascii="Arial" w:cs="Arial" w:eastAsia="Arial" w:hAnsi="Arial"/>
                <w:sz w:val="14"/>
                <w:szCs w:val="14"/>
                <w:color w:val="auto"/>
              </w:rPr>
              <w:t>65,650,782</w:t>
            </w:r>
          </w:p>
        </w:tc>
        <w:tc>
          <w:tcPr>
            <w:tcW w:w="12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ind w:right="212"/>
              <w:spacing w:after="0"/>
              <w:rPr>
                <w:sz w:val="20"/>
                <w:szCs w:val="20"/>
                <w:color w:val="auto"/>
              </w:rPr>
            </w:pPr>
            <w:r>
              <w:rPr>
                <w:rFonts w:ascii="Arial" w:cs="Arial" w:eastAsia="Arial" w:hAnsi="Arial"/>
                <w:sz w:val="14"/>
                <w:szCs w:val="14"/>
                <w:color w:val="auto"/>
                <w:w w:val="99"/>
              </w:rPr>
              <w:t>62,350,787</w:t>
            </w:r>
          </w:p>
        </w:tc>
        <w:tc>
          <w:tcPr>
            <w:tcW w:w="1020" w:type="dxa"/>
            <w:vAlign w:val="bottom"/>
            <w:tcBorders>
              <w:bottom w:val="single" w:sz="8" w:color="auto"/>
            </w:tcBorders>
            <w:shd w:val="clear" w:color="auto" w:fill="CCFFCC"/>
          </w:tcPr>
          <w:p>
            <w:pPr>
              <w:jc w:val="right"/>
              <w:ind w:right="34"/>
              <w:spacing w:after="0"/>
              <w:rPr>
                <w:sz w:val="20"/>
                <w:szCs w:val="20"/>
                <w:color w:val="auto"/>
              </w:rPr>
            </w:pPr>
            <w:r>
              <w:rPr>
                <w:rFonts w:ascii="Arial" w:cs="Arial" w:eastAsia="Arial" w:hAnsi="Arial"/>
                <w:sz w:val="14"/>
                <w:szCs w:val="14"/>
                <w:color w:val="auto"/>
              </w:rPr>
              <w:t>65,023,302</w:t>
            </w:r>
          </w:p>
        </w:tc>
        <w:tc>
          <w:tcPr>
            <w:tcW w:w="10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w w:val="99"/>
              </w:rPr>
              <w:t>61,899,072</w:t>
            </w:r>
          </w:p>
        </w:tc>
      </w:tr>
      <w:tr>
        <w:trPr>
          <w:trHeight w:val="20"/>
        </w:trPr>
        <w:tc>
          <w:tcPr>
            <w:tcW w:w="6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left="7" w:firstLine="561"/>
        <w:spacing w:after="0" w:line="306" w:lineRule="auto"/>
        <w:rPr>
          <w:sz w:val="20"/>
          <w:szCs w:val="20"/>
          <w:color w:val="auto"/>
        </w:rPr>
      </w:pPr>
      <w:r>
        <w:rPr>
          <w:rFonts w:ascii="Arial" w:cs="Arial" w:eastAsia="Arial" w:hAnsi="Arial"/>
          <w:sz w:val="14"/>
          <w:szCs w:val="14"/>
          <w:color w:val="auto"/>
        </w:rPr>
        <w:t>The Company expects to settle the principal amount of its outstanding Notes (as defined below) in cash and any excess in shares of the Company’s common stock. The Company uses the treasury stock method for calculating any potential dilutive effect of the conversion spread on diluted net income per share, if applicable. The conversion spread will have a dilutive impact on diluted net income per share of common stock when the average market price of the Company’s common stock for a given</w:t>
      </w:r>
    </w:p>
    <w:p>
      <w:pPr>
        <w:spacing w:after="0" w:line="13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7"/>
          </w:cols>
          <w:pgMar w:left="313" w:top="170" w:right="319" w:bottom="1440" w:gutter="0" w:footer="0" w:header="0"/>
        </w:sectPr>
      </w:pPr>
    </w:p>
    <w:bookmarkStart w:id="18" w:name="page19"/>
    <w:bookmarkEnd w:id="18"/>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7" w:right="20"/>
        <w:spacing w:after="0" w:line="263" w:lineRule="auto"/>
        <w:rPr>
          <w:sz w:val="20"/>
          <w:szCs w:val="20"/>
          <w:color w:val="auto"/>
        </w:rPr>
      </w:pPr>
      <w:r>
        <w:rPr>
          <w:rFonts w:ascii="Arial" w:cs="Arial" w:eastAsia="Arial" w:hAnsi="Arial"/>
          <w:sz w:val="16"/>
          <w:szCs w:val="16"/>
          <w:color w:val="auto"/>
        </w:rPr>
        <w:t>period exceeds the initial conversion price of $38.58 per share for the Notes. See Note 8 of the Notes to condensed consolidated financial statements for a full description of the Notes.</w:t>
      </w:r>
    </w:p>
    <w:p>
      <w:pPr>
        <w:spacing w:after="0" w:line="153" w:lineRule="exact"/>
        <w:rPr>
          <w:sz w:val="20"/>
          <w:szCs w:val="20"/>
          <w:color w:val="auto"/>
        </w:rPr>
      </w:pPr>
    </w:p>
    <w:p>
      <w:pPr>
        <w:ind w:left="287" w:hanging="287"/>
        <w:spacing w:after="0"/>
        <w:tabs>
          <w:tab w:leader="none" w:pos="287"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Segment Information</w:t>
      </w:r>
    </w:p>
    <w:p>
      <w:pPr>
        <w:spacing w:after="0" w:line="194" w:lineRule="exact"/>
        <w:rPr>
          <w:sz w:val="20"/>
          <w:szCs w:val="20"/>
          <w:color w:val="auto"/>
        </w:rPr>
      </w:pPr>
    </w:p>
    <w:p>
      <w:pPr>
        <w:jc w:val="both"/>
        <w:ind w:left="7" w:firstLine="561"/>
        <w:spacing w:after="0" w:line="284" w:lineRule="auto"/>
        <w:rPr>
          <w:sz w:val="20"/>
          <w:szCs w:val="20"/>
          <w:color w:val="auto"/>
        </w:rPr>
      </w:pPr>
      <w:r>
        <w:rPr>
          <w:rFonts w:ascii="Arial" w:cs="Arial" w:eastAsia="Arial" w:hAnsi="Arial"/>
          <w:sz w:val="14"/>
          <w:szCs w:val="14"/>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Critical Accounting Policies and Estimates.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54" w:lineRule="exact"/>
        <w:rPr>
          <w:sz w:val="20"/>
          <w:szCs w:val="20"/>
          <w:color w:val="auto"/>
        </w:rPr>
      </w:pPr>
    </w:p>
    <w:p>
      <w:pPr>
        <w:ind w:left="567"/>
        <w:spacing w:after="0"/>
        <w:rPr>
          <w:sz w:val="20"/>
          <w:szCs w:val="20"/>
          <w:color w:val="auto"/>
        </w:rPr>
      </w:pPr>
      <w:r>
        <w:rPr>
          <w:rFonts w:ascii="Arial" w:cs="Arial" w:eastAsia="Arial" w:hAnsi="Arial"/>
          <w:sz w:val="14"/>
          <w:szCs w:val="14"/>
          <w:color w:val="auto"/>
        </w:rPr>
        <w:t>Summarized financial information by segment for the three months ended June 30, 2020, based on the Company’s internal financial reporting system utilized by the</w:t>
      </w:r>
    </w:p>
    <w:p>
      <w:pPr>
        <w:spacing w:after="0" w:line="38" w:lineRule="exact"/>
        <w:rPr>
          <w:sz w:val="20"/>
          <w:szCs w:val="20"/>
          <w:color w:val="auto"/>
        </w:rPr>
      </w:pPr>
    </w:p>
    <w:p>
      <w:pPr>
        <w:ind w:left="7"/>
        <w:spacing w:after="0"/>
        <w:rPr>
          <w:sz w:val="20"/>
          <w:szCs w:val="20"/>
          <w:color w:val="auto"/>
        </w:rPr>
      </w:pPr>
      <w:r>
        <w:rPr>
          <w:rFonts w:ascii="Arial" w:cs="Arial" w:eastAsia="Arial" w:hAnsi="Arial"/>
          <w:sz w:val="16"/>
          <w:szCs w:val="16"/>
          <w:color w:val="auto"/>
        </w:rPr>
        <w:t>Company’s chief operating decision maker, follows (amounts in thousands):</w:t>
      </w:r>
    </w:p>
    <w:p>
      <w:pPr>
        <w:spacing w:after="0" w:line="276"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Consumer</w:t>
            </w:r>
          </w:p>
        </w:tc>
        <w:tc>
          <w:tcPr>
            <w:tcW w:w="22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Corporate</w:t>
            </w:r>
          </w:p>
        </w:tc>
        <w:tc>
          <w:tcPr>
            <w:tcW w:w="140" w:type="dxa"/>
            <w:vAlign w:val="bottom"/>
          </w:tcPr>
          <w:p>
            <w:pPr>
              <w:spacing w:after="0"/>
              <w:rPr>
                <w:sz w:val="14"/>
                <w:szCs w:val="14"/>
                <w:color w:val="auto"/>
              </w:rPr>
            </w:pPr>
          </w:p>
        </w:tc>
        <w:tc>
          <w:tcPr>
            <w:tcW w:w="960" w:type="dxa"/>
            <w:vAlign w:val="bottom"/>
          </w:tcPr>
          <w:p>
            <w:pPr>
              <w:jc w:val="right"/>
              <w:ind w:right="131"/>
              <w:spacing w:after="0"/>
              <w:rPr>
                <w:sz w:val="20"/>
                <w:szCs w:val="20"/>
                <w:color w:val="auto"/>
              </w:rPr>
            </w:pPr>
            <w:r>
              <w:rPr>
                <w:rFonts w:ascii="Arial" w:cs="Arial" w:eastAsia="Arial" w:hAnsi="Arial"/>
                <w:sz w:val="12"/>
                <w:szCs w:val="12"/>
                <w:b w:val="1"/>
                <w:bCs w:val="1"/>
                <w:color w:val="auto"/>
                <w:w w:val="97"/>
              </w:rPr>
              <w:t>Consolidated</w:t>
            </w:r>
          </w:p>
        </w:tc>
      </w:tr>
      <w:tr>
        <w:trPr>
          <w:trHeight w:val="211"/>
        </w:trPr>
        <w:tc>
          <w:tcPr>
            <w:tcW w:w="60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CCFFCC"/>
            </w:tcBorders>
            <w:shd w:val="clear" w:color="auto" w:fill="CCFFCC"/>
          </w:tcPr>
          <w:p>
            <w:pPr>
              <w:spacing w:after="0"/>
              <w:rPr>
                <w:sz w:val="18"/>
                <w:szCs w:val="18"/>
                <w:color w:val="auto"/>
              </w:rPr>
            </w:pPr>
          </w:p>
        </w:tc>
      </w:tr>
      <w:tr>
        <w:trPr>
          <w:trHeight w:val="206"/>
        </w:trPr>
        <w:tc>
          <w:tcPr>
            <w:tcW w:w="6060" w:type="dxa"/>
            <w:vAlign w:val="bottom"/>
          </w:tcPr>
          <w:p>
            <w:pPr>
              <w:ind w:left="140"/>
              <w:spacing w:after="0"/>
              <w:rPr>
                <w:sz w:val="20"/>
                <w:szCs w:val="20"/>
                <w:color w:val="auto"/>
              </w:rPr>
            </w:pPr>
            <w:r>
              <w:rPr>
                <w:rFonts w:ascii="Arial" w:cs="Arial" w:eastAsia="Arial" w:hAnsi="Arial"/>
                <w:sz w:val="14"/>
                <w:szCs w:val="14"/>
                <w:color w:val="auto"/>
              </w:rPr>
              <w:t>Hosted services – Business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72,382</w:t>
            </w:r>
          </w:p>
        </w:tc>
        <w:tc>
          <w:tcPr>
            <w:tcW w:w="12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72,382</w:t>
            </w:r>
          </w:p>
        </w:tc>
      </w:tr>
      <w:tr>
        <w:trPr>
          <w:trHeight w:val="28"/>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4"/>
        </w:trPr>
        <w:tc>
          <w:tcPr>
            <w:tcW w:w="606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Hosted services – Consumer</w:t>
            </w:r>
          </w:p>
        </w:tc>
        <w:tc>
          <w:tcPr>
            <w:tcW w:w="26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7,587</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7,587</w:t>
            </w:r>
          </w:p>
        </w:tc>
      </w:tr>
      <w:tr>
        <w:trPr>
          <w:trHeight w:val="206"/>
        </w:trPr>
        <w:tc>
          <w:tcPr>
            <w:tcW w:w="606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260" w:type="dxa"/>
            <w:vAlign w:val="bottom"/>
          </w:tcPr>
          <w:p>
            <w:pPr>
              <w:spacing w:after="0"/>
              <w:rPr>
                <w:sz w:val="17"/>
                <w:szCs w:val="17"/>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11,634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11,634</w:t>
            </w:r>
          </w:p>
        </w:tc>
      </w:tr>
      <w:tr>
        <w:trPr>
          <w:trHeight w:val="28"/>
        </w:trPr>
        <w:tc>
          <w:tcPr>
            <w:tcW w:w="606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4"/>
        </w:trPr>
        <w:tc>
          <w:tcPr>
            <w:tcW w:w="60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84,016</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7,587</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91,603</w:t>
            </w:r>
          </w:p>
        </w:tc>
      </w:tr>
      <w:tr>
        <w:trPr>
          <w:trHeight w:val="186"/>
        </w:trPr>
        <w:tc>
          <w:tcPr>
            <w:tcW w:w="60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26,085</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1,622</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27,707</w:t>
            </w:r>
          </w:p>
        </w:tc>
      </w:tr>
      <w:tr>
        <w:trPr>
          <w:trHeight w:val="28"/>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4"/>
        </w:trPr>
        <w:tc>
          <w:tcPr>
            <w:tcW w:w="6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28,926</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5,692</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34,618</w:t>
            </w:r>
          </w:p>
        </w:tc>
      </w:tr>
      <w:tr>
        <w:trPr>
          <w:trHeight w:val="206"/>
        </w:trPr>
        <w:tc>
          <w:tcPr>
            <w:tcW w:w="6060" w:type="dxa"/>
            <w:vAlign w:val="bottom"/>
          </w:tcPr>
          <w:p>
            <w:pPr>
              <w:ind w:left="20"/>
              <w:spacing w:after="0"/>
              <w:rPr>
                <w:sz w:val="20"/>
                <w:szCs w:val="20"/>
                <w:color w:val="auto"/>
              </w:rPr>
            </w:pPr>
            <w:r>
              <w:rPr>
                <w:rFonts w:ascii="Arial" w:cs="Arial" w:eastAsia="Arial" w:hAnsi="Arial"/>
                <w:sz w:val="14"/>
                <w:szCs w:val="14"/>
                <w:color w:val="auto"/>
              </w:rPr>
              <w:t>Amortization of purchased intangibles</w:t>
            </w:r>
          </w:p>
        </w:tc>
        <w:tc>
          <w:tcPr>
            <w:tcW w:w="260" w:type="dxa"/>
            <w:vAlign w:val="bottom"/>
          </w:tcPr>
          <w:p>
            <w:pPr>
              <w:spacing w:after="0"/>
              <w:rPr>
                <w:sz w:val="17"/>
                <w:szCs w:val="17"/>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404</w:t>
            </w:r>
          </w:p>
        </w:tc>
      </w:tr>
      <w:tr>
        <w:trPr>
          <w:trHeight w:val="28"/>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Unallocated corporate expenses</w:t>
            </w:r>
          </w:p>
        </w:tc>
        <w:tc>
          <w:tcPr>
            <w:tcW w:w="26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43,320</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43,320</w:t>
            </w:r>
          </w:p>
        </w:tc>
      </w:tr>
      <w:tr>
        <w:trPr>
          <w:trHeight w:val="205"/>
        </w:trPr>
        <w:tc>
          <w:tcPr>
            <w:tcW w:w="6060" w:type="dxa"/>
            <w:vAlign w:val="bottom"/>
          </w:tcPr>
          <w:p>
            <w:pPr>
              <w:ind w:left="220"/>
              <w:spacing w:after="0"/>
              <w:rPr>
                <w:sz w:val="20"/>
                <w:szCs w:val="20"/>
                <w:color w:val="auto"/>
              </w:rPr>
            </w:pPr>
            <w:r>
              <w:rPr>
                <w:rFonts w:ascii="Arial" w:cs="Arial" w:eastAsia="Arial" w:hAnsi="Arial"/>
                <w:sz w:val="14"/>
                <w:szCs w:val="14"/>
                <w:color w:val="auto"/>
              </w:rPr>
              <w:t>Operating income (loss)</w:t>
            </w: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28,601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(43,320)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(14,446)</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567"/>
        <w:spacing w:after="0"/>
        <w:rPr>
          <w:sz w:val="20"/>
          <w:szCs w:val="20"/>
          <w:color w:val="auto"/>
        </w:rPr>
      </w:pPr>
      <w:r>
        <w:rPr>
          <w:rFonts w:ascii="Arial" w:cs="Arial" w:eastAsia="Arial" w:hAnsi="Arial"/>
          <w:sz w:val="14"/>
          <w:szCs w:val="14"/>
          <w:color w:val="auto"/>
        </w:rPr>
        <w:t>Summarized financial information by segment for the three months ended June 30, 2019, based on the Company’s internal financial reporting system utilized by the</w:t>
      </w:r>
    </w:p>
    <w:p>
      <w:pPr>
        <w:spacing w:after="0" w:line="38" w:lineRule="exact"/>
        <w:rPr>
          <w:sz w:val="20"/>
          <w:szCs w:val="20"/>
          <w:color w:val="auto"/>
        </w:rPr>
      </w:pPr>
    </w:p>
    <w:p>
      <w:pPr>
        <w:ind w:left="7"/>
        <w:spacing w:after="0"/>
        <w:rPr>
          <w:sz w:val="20"/>
          <w:szCs w:val="20"/>
          <w:color w:val="auto"/>
        </w:rPr>
      </w:pPr>
      <w:r>
        <w:rPr>
          <w:rFonts w:ascii="Arial" w:cs="Arial" w:eastAsia="Arial" w:hAnsi="Arial"/>
          <w:sz w:val="16"/>
          <w:szCs w:val="16"/>
          <w:color w:val="auto"/>
        </w:rPr>
        <w:t>Company’s chief operating decision maker, follows (amounts in thousands):</w:t>
      </w:r>
    </w:p>
    <w:p>
      <w:pPr>
        <w:spacing w:after="0" w:line="276"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Consumer</w:t>
            </w:r>
          </w:p>
        </w:tc>
        <w:tc>
          <w:tcPr>
            <w:tcW w:w="22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Corporate</w:t>
            </w:r>
          </w:p>
        </w:tc>
        <w:tc>
          <w:tcPr>
            <w:tcW w:w="180" w:type="dxa"/>
            <w:vAlign w:val="bottom"/>
          </w:tcPr>
          <w:p>
            <w:pPr>
              <w:spacing w:after="0"/>
              <w:rPr>
                <w:sz w:val="14"/>
                <w:szCs w:val="14"/>
                <w:color w:val="auto"/>
              </w:rPr>
            </w:pPr>
          </w:p>
        </w:tc>
        <w:tc>
          <w:tcPr>
            <w:tcW w:w="1040" w:type="dxa"/>
            <w:vAlign w:val="bottom"/>
          </w:tcPr>
          <w:p>
            <w:pPr>
              <w:jc w:val="right"/>
              <w:ind w:right="191"/>
              <w:spacing w:after="0"/>
              <w:rPr>
                <w:sz w:val="20"/>
                <w:szCs w:val="20"/>
                <w:color w:val="auto"/>
              </w:rPr>
            </w:pPr>
            <w:r>
              <w:rPr>
                <w:rFonts w:ascii="Arial" w:cs="Arial" w:eastAsia="Arial" w:hAnsi="Arial"/>
                <w:sz w:val="12"/>
                <w:szCs w:val="12"/>
                <w:b w:val="1"/>
                <w:bCs w:val="1"/>
                <w:color w:val="auto"/>
                <w:w w:val="99"/>
              </w:rPr>
              <w:t>Consolidated</w:t>
            </w:r>
          </w:p>
        </w:tc>
      </w:tr>
      <w:tr>
        <w:trPr>
          <w:trHeight w:val="211"/>
        </w:trPr>
        <w:tc>
          <w:tcPr>
            <w:tcW w:w="59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CCFFCC"/>
            </w:tcBorders>
            <w:shd w:val="clear" w:color="auto" w:fill="CCFFCC"/>
          </w:tcPr>
          <w:p>
            <w:pPr>
              <w:spacing w:after="0"/>
              <w:rPr>
                <w:sz w:val="18"/>
                <w:szCs w:val="18"/>
                <w:color w:val="auto"/>
              </w:rPr>
            </w:pPr>
          </w:p>
        </w:tc>
      </w:tr>
      <w:tr>
        <w:trPr>
          <w:trHeight w:val="206"/>
        </w:trPr>
        <w:tc>
          <w:tcPr>
            <w:tcW w:w="5960" w:type="dxa"/>
            <w:vAlign w:val="bottom"/>
          </w:tcPr>
          <w:p>
            <w:pPr>
              <w:ind w:left="140"/>
              <w:spacing w:after="0"/>
              <w:rPr>
                <w:sz w:val="20"/>
                <w:szCs w:val="20"/>
                <w:color w:val="auto"/>
              </w:rPr>
            </w:pPr>
            <w:r>
              <w:rPr>
                <w:rFonts w:ascii="Arial" w:cs="Arial" w:eastAsia="Arial" w:hAnsi="Arial"/>
                <w:sz w:val="14"/>
                <w:szCs w:val="14"/>
                <w:color w:val="auto"/>
              </w:rPr>
              <w:t>Hosted services – Business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53,672</w:t>
            </w:r>
          </w:p>
        </w:tc>
        <w:tc>
          <w:tcPr>
            <w:tcW w:w="120" w:type="dxa"/>
            <w:vAlign w:val="bottom"/>
          </w:tcPr>
          <w:p>
            <w:pPr>
              <w:spacing w:after="0"/>
              <w:rPr>
                <w:sz w:val="17"/>
                <w:szCs w:val="17"/>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53,672</w:t>
            </w:r>
          </w:p>
        </w:tc>
      </w:tr>
      <w:tr>
        <w:trPr>
          <w:trHeight w:val="28"/>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4"/>
        </w:trPr>
        <w:tc>
          <w:tcPr>
            <w:tcW w:w="596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Hosted services – Consumer</w:t>
            </w:r>
          </w:p>
        </w:tc>
        <w:tc>
          <w:tcPr>
            <w:tcW w:w="24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6,124</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6,124</w:t>
            </w:r>
          </w:p>
        </w:tc>
      </w:tr>
      <w:tr>
        <w:trPr>
          <w:trHeight w:val="206"/>
        </w:trPr>
        <w:tc>
          <w:tcPr>
            <w:tcW w:w="596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240" w:type="dxa"/>
            <w:vAlign w:val="bottom"/>
          </w:tcPr>
          <w:p>
            <w:pPr>
              <w:spacing w:after="0"/>
              <w:rPr>
                <w:sz w:val="17"/>
                <w:szCs w:val="17"/>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11,163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11,163</w:t>
            </w:r>
          </w:p>
        </w:tc>
      </w:tr>
      <w:tr>
        <w:trPr>
          <w:trHeight w:val="28"/>
        </w:trPr>
        <w:tc>
          <w:tcPr>
            <w:tcW w:w="59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4"/>
        </w:trPr>
        <w:tc>
          <w:tcPr>
            <w:tcW w:w="59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revenue</w:t>
            </w:r>
          </w:p>
        </w:tc>
        <w:tc>
          <w:tcPr>
            <w:tcW w:w="24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64,835</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6,124</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70,959</w:t>
            </w:r>
          </w:p>
        </w:tc>
      </w:tr>
      <w:tr>
        <w:trPr>
          <w:trHeight w:val="186"/>
        </w:trPr>
        <w:tc>
          <w:tcPr>
            <w:tcW w:w="59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16,960</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18,049</w:t>
            </w:r>
          </w:p>
        </w:tc>
      </w:tr>
      <w:tr>
        <w:trPr>
          <w:trHeight w:val="28"/>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4"/>
        </w:trPr>
        <w:tc>
          <w:tcPr>
            <w:tcW w:w="5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Sales and marketing</w:t>
            </w:r>
          </w:p>
        </w:tc>
        <w:tc>
          <w:tcPr>
            <w:tcW w:w="24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35,568</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3,775</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39,343</w:t>
            </w:r>
          </w:p>
        </w:tc>
      </w:tr>
      <w:tr>
        <w:trPr>
          <w:trHeight w:val="206"/>
        </w:trPr>
        <w:tc>
          <w:tcPr>
            <w:tcW w:w="5960" w:type="dxa"/>
            <w:vAlign w:val="bottom"/>
          </w:tcPr>
          <w:p>
            <w:pPr>
              <w:ind w:left="20"/>
              <w:spacing w:after="0"/>
              <w:rPr>
                <w:sz w:val="20"/>
                <w:szCs w:val="20"/>
                <w:color w:val="auto"/>
              </w:rPr>
            </w:pPr>
            <w:r>
              <w:rPr>
                <w:rFonts w:ascii="Arial" w:cs="Arial" w:eastAsia="Arial" w:hAnsi="Arial"/>
                <w:sz w:val="14"/>
                <w:szCs w:val="14"/>
                <w:color w:val="auto"/>
              </w:rPr>
              <w:t>Amortization of purchased intangibles</w:t>
            </w:r>
          </w:p>
        </w:tc>
        <w:tc>
          <w:tcPr>
            <w:tcW w:w="240" w:type="dxa"/>
            <w:vAlign w:val="bottom"/>
          </w:tcPr>
          <w:p>
            <w:pPr>
              <w:spacing w:after="0"/>
              <w:rPr>
                <w:sz w:val="17"/>
                <w:szCs w:val="17"/>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438</w:t>
            </w:r>
          </w:p>
        </w:tc>
      </w:tr>
      <w:tr>
        <w:trPr>
          <w:trHeight w:val="28"/>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4"/>
        </w:trPr>
        <w:tc>
          <w:tcPr>
            <w:tcW w:w="5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Unallocated corporate expenses</w:t>
            </w:r>
          </w:p>
        </w:tc>
        <w:tc>
          <w:tcPr>
            <w:tcW w:w="2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34,150</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34,150</w:t>
            </w:r>
          </w:p>
        </w:tc>
      </w:tr>
      <w:tr>
        <w:trPr>
          <w:trHeight w:val="205"/>
        </w:trPr>
        <w:tc>
          <w:tcPr>
            <w:tcW w:w="5960" w:type="dxa"/>
            <w:vAlign w:val="bottom"/>
          </w:tcPr>
          <w:p>
            <w:pPr>
              <w:ind w:left="220"/>
              <w:spacing w:after="0"/>
              <w:rPr>
                <w:sz w:val="20"/>
                <w:szCs w:val="20"/>
                <w:color w:val="auto"/>
              </w:rPr>
            </w:pPr>
            <w:r>
              <w:rPr>
                <w:rFonts w:ascii="Arial" w:cs="Arial" w:eastAsia="Arial" w:hAnsi="Arial"/>
                <w:sz w:val="14"/>
                <w:szCs w:val="14"/>
                <w:color w:val="auto"/>
              </w:rPr>
              <w:t>Operating income (loss)</w:t>
            </w: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11,869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(34,150)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(21,021)</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7"/>
          </w:cols>
          <w:pgMar w:left="313" w:top="170" w:right="319" w:bottom="1440" w:gutter="0" w:footer="0" w:header="0"/>
        </w:sectPr>
      </w:pPr>
    </w:p>
    <w:bookmarkStart w:id="19" w:name="page20"/>
    <w:bookmarkEnd w:id="19"/>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567"/>
        <w:spacing w:after="0"/>
        <w:rPr>
          <w:sz w:val="20"/>
          <w:szCs w:val="20"/>
          <w:color w:val="auto"/>
        </w:rPr>
      </w:pPr>
      <w:r>
        <w:rPr>
          <w:rFonts w:ascii="Arial" w:cs="Arial" w:eastAsia="Arial" w:hAnsi="Arial"/>
          <w:sz w:val="14"/>
          <w:szCs w:val="14"/>
          <w:color w:val="auto"/>
        </w:rPr>
        <w:t>Summarized financial information by segment for the six months ended June 30, 2020, based on the Company’s internal financial reporting system utilized by the</w:t>
      </w:r>
    </w:p>
    <w:p>
      <w:pPr>
        <w:spacing w:after="0" w:line="38" w:lineRule="exact"/>
        <w:rPr>
          <w:sz w:val="20"/>
          <w:szCs w:val="20"/>
          <w:color w:val="auto"/>
        </w:rPr>
      </w:pPr>
    </w:p>
    <w:p>
      <w:pPr>
        <w:ind w:left="7"/>
        <w:spacing w:after="0"/>
        <w:rPr>
          <w:sz w:val="20"/>
          <w:szCs w:val="20"/>
          <w:color w:val="auto"/>
        </w:rPr>
      </w:pPr>
      <w:r>
        <w:rPr>
          <w:rFonts w:ascii="Arial" w:cs="Arial" w:eastAsia="Arial" w:hAnsi="Arial"/>
          <w:sz w:val="16"/>
          <w:szCs w:val="16"/>
          <w:color w:val="auto"/>
        </w:rPr>
        <w:t>Company’s chief operating decision maker, follows (amounts in thousands):</w:t>
      </w:r>
    </w:p>
    <w:p>
      <w:pPr>
        <w:spacing w:after="0" w:line="276"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Consumer</w:t>
            </w:r>
          </w:p>
        </w:tc>
        <w:tc>
          <w:tcPr>
            <w:tcW w:w="22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Corporate</w:t>
            </w:r>
          </w:p>
        </w:tc>
        <w:tc>
          <w:tcPr>
            <w:tcW w:w="140" w:type="dxa"/>
            <w:vAlign w:val="bottom"/>
          </w:tcPr>
          <w:p>
            <w:pPr>
              <w:spacing w:after="0"/>
              <w:rPr>
                <w:sz w:val="14"/>
                <w:szCs w:val="14"/>
                <w:color w:val="auto"/>
              </w:rPr>
            </w:pPr>
          </w:p>
        </w:tc>
        <w:tc>
          <w:tcPr>
            <w:tcW w:w="960" w:type="dxa"/>
            <w:vAlign w:val="bottom"/>
          </w:tcPr>
          <w:p>
            <w:pPr>
              <w:jc w:val="right"/>
              <w:ind w:right="131"/>
              <w:spacing w:after="0"/>
              <w:rPr>
                <w:sz w:val="20"/>
                <w:szCs w:val="20"/>
                <w:color w:val="auto"/>
              </w:rPr>
            </w:pPr>
            <w:r>
              <w:rPr>
                <w:rFonts w:ascii="Arial" w:cs="Arial" w:eastAsia="Arial" w:hAnsi="Arial"/>
                <w:sz w:val="12"/>
                <w:szCs w:val="12"/>
                <w:b w:val="1"/>
                <w:bCs w:val="1"/>
                <w:color w:val="auto"/>
                <w:w w:val="97"/>
              </w:rPr>
              <w:t>Consolidated</w:t>
            </w:r>
          </w:p>
        </w:tc>
      </w:tr>
      <w:tr>
        <w:trPr>
          <w:trHeight w:val="211"/>
        </w:trPr>
        <w:tc>
          <w:tcPr>
            <w:tcW w:w="60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CCFFCC"/>
            </w:tcBorders>
            <w:shd w:val="clear" w:color="auto" w:fill="CCFFCC"/>
          </w:tcPr>
          <w:p>
            <w:pPr>
              <w:spacing w:after="0"/>
              <w:rPr>
                <w:sz w:val="18"/>
                <w:szCs w:val="18"/>
                <w:color w:val="auto"/>
              </w:rPr>
            </w:pPr>
          </w:p>
        </w:tc>
      </w:tr>
      <w:tr>
        <w:trPr>
          <w:trHeight w:val="206"/>
        </w:trPr>
        <w:tc>
          <w:tcPr>
            <w:tcW w:w="6060" w:type="dxa"/>
            <w:vAlign w:val="bottom"/>
          </w:tcPr>
          <w:p>
            <w:pPr>
              <w:ind w:left="140"/>
              <w:spacing w:after="0"/>
              <w:rPr>
                <w:sz w:val="20"/>
                <w:szCs w:val="20"/>
                <w:color w:val="auto"/>
              </w:rPr>
            </w:pPr>
            <w:r>
              <w:rPr>
                <w:rFonts w:ascii="Arial" w:cs="Arial" w:eastAsia="Arial" w:hAnsi="Arial"/>
                <w:sz w:val="14"/>
                <w:szCs w:val="14"/>
                <w:color w:val="auto"/>
              </w:rPr>
              <w:t>Hosted services – Business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133,435</w:t>
            </w:r>
          </w:p>
        </w:tc>
        <w:tc>
          <w:tcPr>
            <w:tcW w:w="12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133,435</w:t>
            </w:r>
          </w:p>
        </w:tc>
      </w:tr>
      <w:tr>
        <w:trPr>
          <w:trHeight w:val="28"/>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4"/>
        </w:trPr>
        <w:tc>
          <w:tcPr>
            <w:tcW w:w="606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Hosted services – Consumer</w:t>
            </w:r>
          </w:p>
        </w:tc>
        <w:tc>
          <w:tcPr>
            <w:tcW w:w="26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13,826</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13,826</w:t>
            </w:r>
          </w:p>
        </w:tc>
      </w:tr>
      <w:tr>
        <w:trPr>
          <w:trHeight w:val="206"/>
        </w:trPr>
        <w:tc>
          <w:tcPr>
            <w:tcW w:w="606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260" w:type="dxa"/>
            <w:vAlign w:val="bottom"/>
          </w:tcPr>
          <w:p>
            <w:pPr>
              <w:spacing w:after="0"/>
              <w:rPr>
                <w:sz w:val="17"/>
                <w:szCs w:val="17"/>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22,430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22,430</w:t>
            </w:r>
          </w:p>
        </w:tc>
      </w:tr>
      <w:tr>
        <w:trPr>
          <w:trHeight w:val="28"/>
        </w:trPr>
        <w:tc>
          <w:tcPr>
            <w:tcW w:w="606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4"/>
        </w:trPr>
        <w:tc>
          <w:tcPr>
            <w:tcW w:w="60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155,865</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13,826</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169,691</w:t>
            </w:r>
          </w:p>
        </w:tc>
      </w:tr>
      <w:tr>
        <w:trPr>
          <w:trHeight w:val="186"/>
        </w:trPr>
        <w:tc>
          <w:tcPr>
            <w:tcW w:w="60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47,430</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3,096</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50,526</w:t>
            </w:r>
          </w:p>
        </w:tc>
      </w:tr>
      <w:tr>
        <w:trPr>
          <w:trHeight w:val="28"/>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4"/>
        </w:trPr>
        <w:tc>
          <w:tcPr>
            <w:tcW w:w="6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66,395</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10,903</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77,298</w:t>
            </w:r>
          </w:p>
        </w:tc>
      </w:tr>
      <w:tr>
        <w:trPr>
          <w:trHeight w:val="206"/>
        </w:trPr>
        <w:tc>
          <w:tcPr>
            <w:tcW w:w="6060" w:type="dxa"/>
            <w:vAlign w:val="bottom"/>
          </w:tcPr>
          <w:p>
            <w:pPr>
              <w:ind w:left="20"/>
              <w:spacing w:after="0"/>
              <w:rPr>
                <w:sz w:val="20"/>
                <w:szCs w:val="20"/>
                <w:color w:val="auto"/>
              </w:rPr>
            </w:pPr>
            <w:r>
              <w:rPr>
                <w:rFonts w:ascii="Arial" w:cs="Arial" w:eastAsia="Arial" w:hAnsi="Arial"/>
                <w:sz w:val="14"/>
                <w:szCs w:val="14"/>
                <w:color w:val="auto"/>
              </w:rPr>
              <w:t>Amortization of purchased intangibles</w:t>
            </w:r>
          </w:p>
        </w:tc>
        <w:tc>
          <w:tcPr>
            <w:tcW w:w="260" w:type="dxa"/>
            <w:vAlign w:val="bottom"/>
          </w:tcPr>
          <w:p>
            <w:pPr>
              <w:spacing w:after="0"/>
              <w:rPr>
                <w:sz w:val="17"/>
                <w:szCs w:val="17"/>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809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809</w:t>
            </w:r>
          </w:p>
        </w:tc>
      </w:tr>
      <w:tr>
        <w:trPr>
          <w:trHeight w:val="28"/>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Unallocated corporate expenses</w:t>
            </w:r>
          </w:p>
        </w:tc>
        <w:tc>
          <w:tcPr>
            <w:tcW w:w="26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88,696</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88,696</w:t>
            </w:r>
          </w:p>
        </w:tc>
      </w:tr>
      <w:tr>
        <w:trPr>
          <w:trHeight w:val="205"/>
        </w:trPr>
        <w:tc>
          <w:tcPr>
            <w:tcW w:w="6060" w:type="dxa"/>
            <w:vAlign w:val="bottom"/>
          </w:tcPr>
          <w:p>
            <w:pPr>
              <w:ind w:left="220"/>
              <w:spacing w:after="0"/>
              <w:rPr>
                <w:sz w:val="20"/>
                <w:szCs w:val="20"/>
                <w:color w:val="auto"/>
              </w:rPr>
            </w:pPr>
            <w:r>
              <w:rPr>
                <w:rFonts w:ascii="Arial" w:cs="Arial" w:eastAsia="Arial" w:hAnsi="Arial"/>
                <w:sz w:val="14"/>
                <w:szCs w:val="14"/>
                <w:color w:val="auto"/>
              </w:rPr>
              <w:t>Operating income (loss)</w:t>
            </w: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41,231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(88,696)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(47,638)</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567"/>
        <w:spacing w:after="0"/>
        <w:rPr>
          <w:sz w:val="20"/>
          <w:szCs w:val="20"/>
          <w:color w:val="auto"/>
        </w:rPr>
      </w:pPr>
      <w:r>
        <w:rPr>
          <w:rFonts w:ascii="Arial" w:cs="Arial" w:eastAsia="Arial" w:hAnsi="Arial"/>
          <w:sz w:val="14"/>
          <w:szCs w:val="14"/>
          <w:color w:val="auto"/>
        </w:rPr>
        <w:t>Summarized financial information by segment for the six months ended June 30, 2019, based on the Company’s internal financial reporting system utilized by the</w:t>
      </w:r>
    </w:p>
    <w:p>
      <w:pPr>
        <w:spacing w:after="0" w:line="38" w:lineRule="exact"/>
        <w:rPr>
          <w:sz w:val="20"/>
          <w:szCs w:val="20"/>
          <w:color w:val="auto"/>
        </w:rPr>
      </w:pPr>
    </w:p>
    <w:p>
      <w:pPr>
        <w:ind w:left="7"/>
        <w:spacing w:after="0"/>
        <w:rPr>
          <w:sz w:val="20"/>
          <w:szCs w:val="20"/>
          <w:color w:val="auto"/>
        </w:rPr>
      </w:pPr>
      <w:r>
        <w:rPr>
          <w:rFonts w:ascii="Arial" w:cs="Arial" w:eastAsia="Arial" w:hAnsi="Arial"/>
          <w:sz w:val="16"/>
          <w:szCs w:val="16"/>
          <w:color w:val="auto"/>
        </w:rPr>
        <w:t>Company’s chief operating decision maker, follows (amounts in thousands):</w:t>
      </w:r>
    </w:p>
    <w:p>
      <w:pPr>
        <w:spacing w:after="0" w:line="276"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2"/>
                <w:szCs w:val="12"/>
                <w:b w:val="1"/>
                <w:bCs w:val="1"/>
                <w:color w:val="auto"/>
              </w:rPr>
              <w:t>Business</w:t>
            </w: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Consumer</w:t>
            </w:r>
          </w:p>
        </w:tc>
        <w:tc>
          <w:tcPr>
            <w:tcW w:w="22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Corporate</w:t>
            </w:r>
          </w:p>
        </w:tc>
        <w:tc>
          <w:tcPr>
            <w:tcW w:w="140" w:type="dxa"/>
            <w:vAlign w:val="bottom"/>
          </w:tcPr>
          <w:p>
            <w:pPr>
              <w:spacing w:after="0"/>
              <w:rPr>
                <w:sz w:val="14"/>
                <w:szCs w:val="14"/>
                <w:color w:val="auto"/>
              </w:rPr>
            </w:pPr>
          </w:p>
        </w:tc>
        <w:tc>
          <w:tcPr>
            <w:tcW w:w="960" w:type="dxa"/>
            <w:vAlign w:val="bottom"/>
          </w:tcPr>
          <w:p>
            <w:pPr>
              <w:jc w:val="right"/>
              <w:ind w:right="131"/>
              <w:spacing w:after="0"/>
              <w:rPr>
                <w:sz w:val="20"/>
                <w:szCs w:val="20"/>
                <w:color w:val="auto"/>
              </w:rPr>
            </w:pPr>
            <w:r>
              <w:rPr>
                <w:rFonts w:ascii="Arial" w:cs="Arial" w:eastAsia="Arial" w:hAnsi="Arial"/>
                <w:sz w:val="12"/>
                <w:szCs w:val="12"/>
                <w:b w:val="1"/>
                <w:bCs w:val="1"/>
                <w:color w:val="auto"/>
                <w:w w:val="97"/>
              </w:rPr>
              <w:t>Consolidated</w:t>
            </w:r>
          </w:p>
        </w:tc>
      </w:tr>
      <w:tr>
        <w:trPr>
          <w:trHeight w:val="211"/>
        </w:trPr>
        <w:tc>
          <w:tcPr>
            <w:tcW w:w="60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CCFFCC"/>
            </w:tcBorders>
            <w:shd w:val="clear" w:color="auto" w:fill="CCFFCC"/>
          </w:tcPr>
          <w:p>
            <w:pPr>
              <w:spacing w:after="0"/>
              <w:rPr>
                <w:sz w:val="18"/>
                <w:szCs w:val="18"/>
                <w:color w:val="auto"/>
              </w:rPr>
            </w:pPr>
          </w:p>
        </w:tc>
      </w:tr>
      <w:tr>
        <w:trPr>
          <w:trHeight w:val="206"/>
        </w:trPr>
        <w:tc>
          <w:tcPr>
            <w:tcW w:w="6060" w:type="dxa"/>
            <w:vAlign w:val="bottom"/>
          </w:tcPr>
          <w:p>
            <w:pPr>
              <w:ind w:left="140"/>
              <w:spacing w:after="0"/>
              <w:rPr>
                <w:sz w:val="20"/>
                <w:szCs w:val="20"/>
                <w:color w:val="auto"/>
              </w:rPr>
            </w:pPr>
            <w:r>
              <w:rPr>
                <w:rFonts w:ascii="Arial" w:cs="Arial" w:eastAsia="Arial" w:hAnsi="Arial"/>
                <w:sz w:val="14"/>
                <w:szCs w:val="14"/>
                <w:color w:val="auto"/>
              </w:rPr>
              <w:t>Hosted services – Business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105,209</w:t>
            </w:r>
          </w:p>
        </w:tc>
        <w:tc>
          <w:tcPr>
            <w:tcW w:w="12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105,209</w:t>
            </w:r>
          </w:p>
        </w:tc>
      </w:tr>
      <w:tr>
        <w:trPr>
          <w:trHeight w:val="28"/>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4"/>
        </w:trPr>
        <w:tc>
          <w:tcPr>
            <w:tcW w:w="606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Hosted services – Consumer</w:t>
            </w:r>
          </w:p>
        </w:tc>
        <w:tc>
          <w:tcPr>
            <w:tcW w:w="26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11,531</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11,531</w:t>
            </w:r>
          </w:p>
        </w:tc>
      </w:tr>
      <w:tr>
        <w:trPr>
          <w:trHeight w:val="206"/>
        </w:trPr>
        <w:tc>
          <w:tcPr>
            <w:tcW w:w="6060" w:type="dxa"/>
            <w:vAlign w:val="bottom"/>
          </w:tcPr>
          <w:p>
            <w:pPr>
              <w:ind w:left="140"/>
              <w:spacing w:after="0"/>
              <w:rPr>
                <w:sz w:val="20"/>
                <w:szCs w:val="20"/>
                <w:color w:val="auto"/>
              </w:rPr>
            </w:pPr>
            <w:r>
              <w:rPr>
                <w:rFonts w:ascii="Arial" w:cs="Arial" w:eastAsia="Arial" w:hAnsi="Arial"/>
                <w:sz w:val="14"/>
                <w:szCs w:val="14"/>
                <w:color w:val="auto"/>
              </w:rPr>
              <w:t>Professional services</w:t>
            </w:r>
          </w:p>
        </w:tc>
        <w:tc>
          <w:tcPr>
            <w:tcW w:w="260" w:type="dxa"/>
            <w:vAlign w:val="bottom"/>
          </w:tcPr>
          <w:p>
            <w:pPr>
              <w:spacing w:after="0"/>
              <w:rPr>
                <w:sz w:val="17"/>
                <w:szCs w:val="17"/>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20,621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20,621</w:t>
            </w:r>
          </w:p>
        </w:tc>
      </w:tr>
      <w:tr>
        <w:trPr>
          <w:trHeight w:val="28"/>
        </w:trPr>
        <w:tc>
          <w:tcPr>
            <w:tcW w:w="606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4"/>
        </w:trPr>
        <w:tc>
          <w:tcPr>
            <w:tcW w:w="60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125,830</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11,531</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137,361</w:t>
            </w:r>
          </w:p>
        </w:tc>
      </w:tr>
      <w:tr>
        <w:trPr>
          <w:trHeight w:val="186"/>
        </w:trPr>
        <w:tc>
          <w:tcPr>
            <w:tcW w:w="60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34,622</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2,076</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36,698</w:t>
            </w:r>
          </w:p>
        </w:tc>
      </w:tr>
      <w:tr>
        <w:trPr>
          <w:trHeight w:val="28"/>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4"/>
        </w:trPr>
        <w:tc>
          <w:tcPr>
            <w:tcW w:w="6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65,660</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6,719</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72,379</w:t>
            </w:r>
          </w:p>
        </w:tc>
      </w:tr>
      <w:tr>
        <w:trPr>
          <w:trHeight w:val="206"/>
        </w:trPr>
        <w:tc>
          <w:tcPr>
            <w:tcW w:w="6060" w:type="dxa"/>
            <w:vAlign w:val="bottom"/>
          </w:tcPr>
          <w:p>
            <w:pPr>
              <w:ind w:left="20"/>
              <w:spacing w:after="0"/>
              <w:rPr>
                <w:sz w:val="20"/>
                <w:szCs w:val="20"/>
                <w:color w:val="auto"/>
              </w:rPr>
            </w:pPr>
            <w:r>
              <w:rPr>
                <w:rFonts w:ascii="Arial" w:cs="Arial" w:eastAsia="Arial" w:hAnsi="Arial"/>
                <w:sz w:val="14"/>
                <w:szCs w:val="14"/>
                <w:color w:val="auto"/>
              </w:rPr>
              <w:t>Amortization of purchased intangibles</w:t>
            </w:r>
          </w:p>
        </w:tc>
        <w:tc>
          <w:tcPr>
            <w:tcW w:w="260" w:type="dxa"/>
            <w:vAlign w:val="bottom"/>
          </w:tcPr>
          <w:p>
            <w:pPr>
              <w:spacing w:after="0"/>
              <w:rPr>
                <w:sz w:val="17"/>
                <w:szCs w:val="17"/>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899</w:t>
            </w:r>
          </w:p>
        </w:tc>
      </w:tr>
      <w:tr>
        <w:trPr>
          <w:trHeight w:val="28"/>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Unallocated corporate expenses</w:t>
            </w:r>
          </w:p>
        </w:tc>
        <w:tc>
          <w:tcPr>
            <w:tcW w:w="26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66,769</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66,769</w:t>
            </w:r>
          </w:p>
        </w:tc>
      </w:tr>
      <w:tr>
        <w:trPr>
          <w:trHeight w:val="205"/>
        </w:trPr>
        <w:tc>
          <w:tcPr>
            <w:tcW w:w="6060" w:type="dxa"/>
            <w:vAlign w:val="bottom"/>
          </w:tcPr>
          <w:p>
            <w:pPr>
              <w:ind w:left="220"/>
              <w:spacing w:after="0"/>
              <w:rPr>
                <w:sz w:val="20"/>
                <w:szCs w:val="20"/>
                <w:color w:val="auto"/>
              </w:rPr>
            </w:pPr>
            <w:r>
              <w:rPr>
                <w:rFonts w:ascii="Arial" w:cs="Arial" w:eastAsia="Arial" w:hAnsi="Arial"/>
                <w:sz w:val="14"/>
                <w:szCs w:val="14"/>
                <w:color w:val="auto"/>
              </w:rPr>
              <w:t>Operating income (loss)</w:t>
            </w: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24,649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2,736</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(66,769)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(39,384)</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Geographic Information</w:t>
      </w:r>
    </w:p>
    <w:p>
      <w:pPr>
        <w:spacing w:after="0" w:line="96" w:lineRule="exact"/>
        <w:rPr>
          <w:sz w:val="20"/>
          <w:szCs w:val="20"/>
          <w:color w:val="auto"/>
        </w:rPr>
      </w:pPr>
    </w:p>
    <w:p>
      <w:pPr>
        <w:jc w:val="both"/>
        <w:ind w:left="7" w:firstLine="561"/>
        <w:spacing w:after="0" w:line="253" w:lineRule="auto"/>
        <w:rPr>
          <w:sz w:val="20"/>
          <w:szCs w:val="20"/>
          <w:color w:val="auto"/>
        </w:rPr>
      </w:pPr>
      <w:r>
        <w:rPr>
          <w:rFonts w:ascii="Arial" w:cs="Arial" w:eastAsia="Arial" w:hAnsi="Arial"/>
          <w:sz w:val="16"/>
          <w:szCs w:val="16"/>
          <w:color w:val="auto"/>
        </w:rPr>
        <w:t>The Company is domiciled in the United States and has international operations in Israel, the United Kingdom, Asia-Pacific and Australia, Latin America and Western Europe, particularly France, Germany and the Netherlands. The following table presents the Company’s long-lived assets by geographic region as of the dates presented (amounts in thousands):</w:t>
      </w:r>
    </w:p>
    <w:p>
      <w:pPr>
        <w:spacing w:after="0" w:line="264"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92"/>
              <w:spacing w:after="0"/>
              <w:rPr>
                <w:sz w:val="20"/>
                <w:szCs w:val="20"/>
                <w:color w:val="auto"/>
              </w:rPr>
            </w:pPr>
            <w:r>
              <w:rPr>
                <w:rFonts w:ascii="Arial" w:cs="Arial" w:eastAsia="Arial" w:hAnsi="Arial"/>
                <w:sz w:val="12"/>
                <w:szCs w:val="12"/>
                <w:b w:val="1"/>
                <w:bCs w:val="1"/>
                <w:color w:val="auto"/>
              </w:rPr>
              <w:t>December 31,</w:t>
            </w:r>
          </w:p>
        </w:tc>
      </w:tr>
      <w:tr>
        <w:trPr>
          <w:trHeight w:val="239"/>
        </w:trPr>
        <w:tc>
          <w:tcPr>
            <w:tcW w:w="82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2019</w:t>
            </w:r>
          </w:p>
        </w:tc>
      </w:tr>
      <w:tr>
        <w:trPr>
          <w:trHeight w:val="199"/>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United States</w:t>
            </w:r>
          </w:p>
        </w:tc>
        <w:tc>
          <w:tcPr>
            <w:tcW w:w="30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191,959</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177,776</w:t>
            </w:r>
          </w:p>
        </w:tc>
      </w:tr>
      <w:tr>
        <w:trPr>
          <w:trHeight w:val="206"/>
        </w:trPr>
        <w:tc>
          <w:tcPr>
            <w:tcW w:w="8200" w:type="dxa"/>
            <w:vAlign w:val="bottom"/>
          </w:tcPr>
          <w:p>
            <w:pPr>
              <w:ind w:left="20"/>
              <w:spacing w:after="0"/>
              <w:rPr>
                <w:sz w:val="20"/>
                <w:szCs w:val="20"/>
                <w:color w:val="auto"/>
              </w:rPr>
            </w:pPr>
            <w:r>
              <w:rPr>
                <w:rFonts w:ascii="Arial" w:cs="Arial" w:eastAsia="Arial" w:hAnsi="Arial"/>
                <w:sz w:val="14"/>
                <w:szCs w:val="14"/>
                <w:color w:val="auto"/>
              </w:rPr>
              <w:t>Israel</w:t>
            </w:r>
          </w:p>
        </w:tc>
        <w:tc>
          <w:tcPr>
            <w:tcW w:w="300" w:type="dxa"/>
            <w:vAlign w:val="bottom"/>
          </w:tcPr>
          <w:p>
            <w:pPr>
              <w:spacing w:after="0"/>
              <w:rPr>
                <w:sz w:val="17"/>
                <w:szCs w:val="17"/>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16,674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16,680</w:t>
            </w:r>
          </w:p>
        </w:tc>
      </w:tr>
      <w:tr>
        <w:trPr>
          <w:trHeight w:val="28"/>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4"/>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Australia</w:t>
            </w:r>
          </w:p>
        </w:tc>
        <w:tc>
          <w:tcPr>
            <w:tcW w:w="300" w:type="dxa"/>
            <w:vAlign w:val="bottom"/>
            <w:tcBorders>
              <w:bottom w:val="single" w:sz="8" w:color="CCFFCC"/>
            </w:tcBorders>
            <w:shd w:val="clear" w:color="auto" w:fill="CCFFCC"/>
          </w:tcPr>
          <w:p>
            <w:pPr>
              <w:spacing w:after="0"/>
              <w:rPr>
                <w:sz w:val="18"/>
                <w:szCs w:val="18"/>
                <w:color w:val="auto"/>
              </w:rPr>
            </w:pPr>
          </w:p>
        </w:tc>
        <w:tc>
          <w:tcPr>
            <w:tcW w:w="11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14,394</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2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13,765</w:t>
            </w:r>
          </w:p>
        </w:tc>
      </w:tr>
      <w:tr>
        <w:trPr>
          <w:trHeight w:val="206"/>
        </w:trPr>
        <w:tc>
          <w:tcPr>
            <w:tcW w:w="8200" w:type="dxa"/>
            <w:vAlign w:val="bottom"/>
          </w:tcPr>
          <w:p>
            <w:pPr>
              <w:ind w:left="20"/>
              <w:spacing w:after="0"/>
              <w:rPr>
                <w:sz w:val="20"/>
                <w:szCs w:val="20"/>
                <w:color w:val="auto"/>
              </w:rPr>
            </w:pPr>
            <w:r>
              <w:rPr>
                <w:rFonts w:ascii="Arial" w:cs="Arial" w:eastAsia="Arial" w:hAnsi="Arial"/>
                <w:sz w:val="14"/>
                <w:szCs w:val="14"/>
                <w:color w:val="auto"/>
              </w:rPr>
              <w:t>Netherlands</w:t>
            </w:r>
          </w:p>
        </w:tc>
        <w:tc>
          <w:tcPr>
            <w:tcW w:w="300" w:type="dxa"/>
            <w:vAlign w:val="bottom"/>
          </w:tcPr>
          <w:p>
            <w:pPr>
              <w:spacing w:after="0"/>
              <w:rPr>
                <w:sz w:val="17"/>
                <w:szCs w:val="17"/>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8,280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7,705</w:t>
            </w:r>
          </w:p>
        </w:tc>
      </w:tr>
      <w:tr>
        <w:trPr>
          <w:trHeight w:val="28"/>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4"/>
        </w:trPr>
        <w:tc>
          <w:tcPr>
            <w:tcW w:w="8200" w:type="dxa"/>
            <w:vAlign w:val="bottom"/>
            <w:shd w:val="clear" w:color="auto" w:fill="CCFFCC"/>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FFCC"/>
          </w:tcPr>
          <w:p>
            <w:pPr>
              <w:spacing w:after="0"/>
              <w:rPr>
                <w:sz w:val="20"/>
                <w:szCs w:val="20"/>
                <w:color w:val="auto"/>
              </w:rPr>
            </w:pPr>
          </w:p>
        </w:tc>
        <w:tc>
          <w:tcPr>
            <w:tcW w:w="118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19,171</w:t>
            </w:r>
          </w:p>
        </w:tc>
        <w:tc>
          <w:tcPr>
            <w:tcW w:w="120" w:type="dxa"/>
            <w:vAlign w:val="bottom"/>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spacing w:after="0"/>
              <w:rPr>
                <w:sz w:val="20"/>
                <w:szCs w:val="20"/>
                <w:color w:val="auto"/>
              </w:rPr>
            </w:pPr>
          </w:p>
        </w:tc>
        <w:tc>
          <w:tcPr>
            <w:tcW w:w="122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18,677</w:t>
            </w:r>
          </w:p>
        </w:tc>
      </w:tr>
      <w:tr>
        <w:trPr>
          <w:trHeight w:val="205"/>
        </w:trPr>
        <w:tc>
          <w:tcPr>
            <w:tcW w:w="8200" w:type="dxa"/>
            <w:vAlign w:val="bottom"/>
          </w:tcPr>
          <w:p>
            <w:pPr>
              <w:ind w:left="220"/>
              <w:spacing w:after="0"/>
              <w:rPr>
                <w:sz w:val="20"/>
                <w:szCs w:val="20"/>
                <w:color w:val="auto"/>
              </w:rPr>
            </w:pPr>
            <w:r>
              <w:rPr>
                <w:rFonts w:ascii="Arial" w:cs="Arial" w:eastAsia="Arial" w:hAnsi="Arial"/>
                <w:sz w:val="14"/>
                <w:szCs w:val="14"/>
                <w:color w:val="auto"/>
              </w:rPr>
              <w:t>Total long-lived assets</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250,478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234,603</w:t>
            </w:r>
          </w:p>
        </w:tc>
      </w:tr>
      <w:tr>
        <w:trPr>
          <w:trHeight w:val="20"/>
        </w:trPr>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147" w:hanging="147"/>
        <w:spacing w:after="0"/>
        <w:tabs>
          <w:tab w:leader="none" w:pos="147"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United Kingdom, Germany, Japan, France and Italy</w:t>
      </w:r>
    </w:p>
    <w:p>
      <w:pPr>
        <w:spacing w:after="0" w:line="200" w:lineRule="exact"/>
        <w:rPr>
          <w:sz w:val="20"/>
          <w:szCs w:val="20"/>
          <w:color w:val="auto"/>
        </w:rPr>
      </w:pPr>
    </w:p>
    <w:p>
      <w:pPr>
        <w:spacing w:after="0" w:line="38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7"/>
          </w:cols>
          <w:pgMar w:left="313" w:top="17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3"/>
          <w:szCs w:val="13"/>
          <w:b w:val="1"/>
          <w:bCs w:val="1"/>
          <w:color w:val="auto"/>
        </w:rPr>
        <w:t>Goodwill and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changes in the carrying amount of goodwill for the six months ended June 30, 2020 are as follows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20" w:type="dxa"/>
            <w:vAlign w:val="bottom"/>
            <w:tcBorders>
              <w:bottom w:val="single" w:sz="8" w:color="CCFFC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Business</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Consumer</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Consolidated</w:t>
            </w:r>
          </w:p>
        </w:tc>
      </w:tr>
      <w:tr>
        <w:trPr>
          <w:trHeight w:val="199"/>
        </w:trPr>
        <w:tc>
          <w:tcPr>
            <w:tcW w:w="66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as of December 31, 2019</w:t>
            </w:r>
          </w:p>
        </w:tc>
        <w:tc>
          <w:tcPr>
            <w:tcW w:w="980" w:type="dxa"/>
            <w:vAlign w:val="bottom"/>
            <w:tcBorders>
              <w:bottom w:val="single" w:sz="8" w:color="CCFFCC"/>
            </w:tcBorders>
            <w:shd w:val="clear" w:color="auto" w:fill="CCFFCC"/>
          </w:tcPr>
          <w:p>
            <w:pPr>
              <w:jc w:val="right"/>
              <w:ind w:right="813"/>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w w:val="83"/>
              </w:rPr>
              <w:t>86,963</w:t>
            </w:r>
          </w:p>
        </w:tc>
        <w:tc>
          <w:tcPr>
            <w:tcW w:w="12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jc w:val="right"/>
              <w:ind w:right="853"/>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w w:val="91"/>
              </w:rPr>
              <w:t>8,024</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94,987</w:t>
            </w:r>
          </w:p>
        </w:tc>
      </w:tr>
      <w:tr>
        <w:trPr>
          <w:trHeight w:val="206"/>
        </w:trPr>
        <w:tc>
          <w:tcPr>
            <w:tcW w:w="6620" w:type="dxa"/>
            <w:vAlign w:val="bottom"/>
          </w:tcPr>
          <w:p>
            <w:pPr>
              <w:ind w:left="140"/>
              <w:spacing w:after="0"/>
              <w:rPr>
                <w:sz w:val="20"/>
                <w:szCs w:val="20"/>
                <w:color w:val="auto"/>
              </w:rPr>
            </w:pPr>
            <w:r>
              <w:rPr>
                <w:rFonts w:ascii="Arial" w:cs="Arial" w:eastAsia="Arial" w:hAnsi="Arial"/>
                <w:sz w:val="14"/>
                <w:szCs w:val="14"/>
                <w:color w:val="auto"/>
              </w:rPr>
              <w:t>Adjustments to goodwill:</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8"/>
        </w:trPr>
        <w:tc>
          <w:tcPr>
            <w:tcW w:w="6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4"/>
        </w:trPr>
        <w:tc>
          <w:tcPr>
            <w:tcW w:w="66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Foreign exchange adjustment</w:t>
            </w:r>
          </w:p>
        </w:tc>
        <w:tc>
          <w:tcPr>
            <w:tcW w:w="980" w:type="dxa"/>
            <w:vAlign w:val="bottom"/>
            <w:tcBorders>
              <w:bottom w:val="single" w:sz="8" w:color="CCFFCC"/>
            </w:tcBorders>
            <w:shd w:val="clear" w:color="auto" w:fill="CCFFCC"/>
          </w:tcPr>
          <w:p>
            <w:pPr>
              <w:spacing w:after="0"/>
              <w:rPr>
                <w:sz w:val="20"/>
                <w:szCs w:val="20"/>
                <w:color w:val="auto"/>
              </w:rPr>
            </w:pPr>
          </w:p>
        </w:tc>
        <w:tc>
          <w:tcPr>
            <w:tcW w:w="5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22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2</w:t>
            </w:r>
          </w:p>
        </w:tc>
      </w:tr>
      <w:tr>
        <w:trPr>
          <w:trHeight w:val="205"/>
        </w:trPr>
        <w:tc>
          <w:tcPr>
            <w:tcW w:w="6620" w:type="dxa"/>
            <w:vAlign w:val="bottom"/>
          </w:tcPr>
          <w:p>
            <w:pPr>
              <w:ind w:left="20"/>
              <w:spacing w:after="0"/>
              <w:rPr>
                <w:sz w:val="20"/>
                <w:szCs w:val="20"/>
                <w:color w:val="auto"/>
              </w:rPr>
            </w:pPr>
            <w:r>
              <w:rPr>
                <w:rFonts w:ascii="Arial" w:cs="Arial" w:eastAsia="Arial" w:hAnsi="Arial"/>
                <w:sz w:val="14"/>
                <w:szCs w:val="14"/>
                <w:color w:val="auto"/>
              </w:rPr>
              <w:t>Balance as of June 30, 2020</w:t>
            </w:r>
          </w:p>
        </w:tc>
        <w:tc>
          <w:tcPr>
            <w:tcW w:w="98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83"/>
              </w:rPr>
              <w:t>86,965</w:t>
            </w:r>
          </w:p>
        </w:tc>
        <w:tc>
          <w:tcPr>
            <w:tcW w:w="1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91"/>
              </w:rPr>
              <w:t>8,024</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94,989</w:t>
            </w:r>
          </w:p>
        </w:tc>
      </w:tr>
      <w:tr>
        <w:trPr>
          <w:trHeight w:val="20"/>
        </w:trPr>
        <w:tc>
          <w:tcPr>
            <w:tcW w:w="6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Intangible assets are summarized as follows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2"/>
                <w:szCs w:val="12"/>
                <w:b w:val="1"/>
                <w:bCs w:val="1"/>
                <w:color w:val="auto"/>
              </w:rPr>
              <w:t>As of June 30, 2020</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2"/>
              </w:rPr>
              <w:t>Gross</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Accumulated</w:t>
            </w:r>
          </w:p>
        </w:tc>
        <w:tc>
          <w:tcPr>
            <w:tcW w:w="8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7"/>
              </w:rPr>
              <w:t>Net Carrying</w:t>
            </w: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80"/>
              <w:spacing w:after="0" w:line="129" w:lineRule="exact"/>
              <w:rPr>
                <w:sz w:val="20"/>
                <w:szCs w:val="20"/>
                <w:color w:val="auto"/>
              </w:rPr>
            </w:pPr>
            <w:r>
              <w:rPr>
                <w:rFonts w:ascii="Arial" w:cs="Arial" w:eastAsia="Arial" w:hAnsi="Arial"/>
                <w:sz w:val="12"/>
                <w:szCs w:val="12"/>
                <w:b w:val="1"/>
                <w:bCs w:val="1"/>
                <w:color w:val="auto"/>
                <w:w w:val="97"/>
              </w:rPr>
              <w:t>Carrying</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Amortization</w:t>
            </w:r>
          </w:p>
        </w:tc>
        <w:tc>
          <w:tcPr>
            <w:tcW w:w="0" w:type="dxa"/>
            <w:vAlign w:val="bottom"/>
          </w:tcPr>
          <w:p>
            <w:pPr>
              <w:spacing w:after="0"/>
              <w:rPr>
                <w:sz w:val="1"/>
                <w:szCs w:val="1"/>
                <w:color w:val="auto"/>
              </w:rPr>
            </w:pPr>
          </w:p>
        </w:tc>
      </w:tr>
      <w:tr>
        <w:trPr>
          <w:trHeight w:val="166"/>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Amount</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Amortization</w:t>
            </w:r>
          </w:p>
        </w:tc>
        <w:tc>
          <w:tcPr>
            <w:tcW w:w="160" w:type="dxa"/>
            <w:vAlign w:val="bottom"/>
          </w:tcPr>
          <w:p>
            <w:pPr>
              <w:spacing w:after="0"/>
              <w:rPr>
                <w:sz w:val="14"/>
                <w:szCs w:val="14"/>
                <w:color w:val="auto"/>
              </w:rPr>
            </w:pPr>
          </w:p>
        </w:tc>
        <w:tc>
          <w:tcPr>
            <w:tcW w:w="720" w:type="dxa"/>
            <w:vAlign w:val="bottom"/>
          </w:tcPr>
          <w:p>
            <w:pPr>
              <w:jc w:val="center"/>
              <w:ind w:right="91"/>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0"/>
              </w:rPr>
              <w:t>Period</w:t>
            </w:r>
          </w:p>
        </w:tc>
        <w:tc>
          <w:tcPr>
            <w:tcW w:w="0" w:type="dxa"/>
            <w:vAlign w:val="bottom"/>
          </w:tcPr>
          <w:p>
            <w:pPr>
              <w:spacing w:after="0"/>
              <w:rPr>
                <w:sz w:val="1"/>
                <w:szCs w:val="1"/>
                <w:color w:val="auto"/>
              </w:rPr>
            </w:pPr>
          </w:p>
        </w:tc>
      </w:tr>
      <w:tr>
        <w:trPr>
          <w:trHeight w:val="211"/>
        </w:trPr>
        <w:tc>
          <w:tcPr>
            <w:tcW w:w="67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Amortizing intangible assets:</w:t>
            </w: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CCFFCC"/>
            </w:tcBorders>
            <w:shd w:val="clear" w:color="auto" w:fill="CCFFCC"/>
          </w:tcPr>
          <w:p>
            <w:pPr>
              <w:spacing w:after="0"/>
              <w:rPr>
                <w:sz w:val="18"/>
                <w:szCs w:val="18"/>
                <w:color w:val="auto"/>
              </w:rPr>
            </w:pPr>
          </w:p>
        </w:tc>
        <w:tc>
          <w:tcPr>
            <w:tcW w:w="106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140"/>
              <w:spacing w:after="0"/>
              <w:rPr>
                <w:sz w:val="20"/>
                <w:szCs w:val="20"/>
                <w:color w:val="auto"/>
              </w:rPr>
            </w:pPr>
            <w:r>
              <w:rPr>
                <w:rFonts w:ascii="Arial" w:cs="Arial" w:eastAsia="Arial" w:hAnsi="Arial"/>
                <w:sz w:val="14"/>
                <w:szCs w:val="14"/>
                <w:color w:val="auto"/>
              </w:rPr>
              <w:t>Technology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30,413</w:t>
            </w:r>
          </w:p>
        </w:tc>
        <w:tc>
          <w:tcPr>
            <w:tcW w:w="12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(25,973)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4,440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 years</w:t>
            </w: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74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Customer relationships</w:t>
            </w: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16,964</w:t>
            </w: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(13,461)</w:t>
            </w: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3,503</w:t>
            </w:r>
          </w:p>
        </w:tc>
        <w:tc>
          <w:tcPr>
            <w:tcW w:w="10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8.4 years</w:t>
            </w:r>
          </w:p>
        </w:tc>
        <w:tc>
          <w:tcPr>
            <w:tcW w:w="0" w:type="dxa"/>
            <w:vAlign w:val="bottom"/>
          </w:tcPr>
          <w:p>
            <w:pPr>
              <w:spacing w:after="0"/>
              <w:rPr>
                <w:sz w:val="1"/>
                <w:szCs w:val="1"/>
                <w:color w:val="auto"/>
              </w:rPr>
            </w:pPr>
          </w:p>
        </w:tc>
      </w:tr>
      <w:tr>
        <w:trPr>
          <w:trHeight w:val="206"/>
        </w:trPr>
        <w:tc>
          <w:tcPr>
            <w:tcW w:w="6740" w:type="dxa"/>
            <w:vAlign w:val="bottom"/>
          </w:tcPr>
          <w:p>
            <w:pPr>
              <w:ind w:left="140"/>
              <w:spacing w:after="0"/>
              <w:rPr>
                <w:sz w:val="20"/>
                <w:szCs w:val="20"/>
                <w:color w:val="auto"/>
              </w:rPr>
            </w:pPr>
            <w:r>
              <w:rPr>
                <w:rFonts w:ascii="Arial" w:cs="Arial" w:eastAsia="Arial" w:hAnsi="Arial"/>
                <w:sz w:val="14"/>
                <w:szCs w:val="14"/>
                <w:color w:val="auto"/>
              </w:rPr>
              <w:t>Patents</w:t>
            </w:r>
          </w:p>
        </w:tc>
        <w:tc>
          <w:tcPr>
            <w:tcW w:w="160" w:type="dxa"/>
            <w:vAlign w:val="bottom"/>
          </w:tcPr>
          <w:p>
            <w:pPr>
              <w:spacing w:after="0"/>
              <w:rPr>
                <w:sz w:val="17"/>
                <w:szCs w:val="17"/>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3,888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3,088</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 years</w:t>
            </w: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74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205"/>
        </w:trPr>
        <w:tc>
          <w:tcPr>
            <w:tcW w:w="6740" w:type="dxa"/>
            <w:vAlign w:val="bottom"/>
          </w:tcPr>
          <w:p>
            <w:pPr>
              <w:ind w:left="2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51,579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(40,470)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11,109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2"/>
                <w:szCs w:val="12"/>
                <w:b w:val="1"/>
                <w:bCs w:val="1"/>
                <w:color w:val="auto"/>
              </w:rPr>
              <w:t>As of December 31, 2019</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2"/>
              </w:rPr>
              <w:t>Gross</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Accumulated</w:t>
            </w:r>
          </w:p>
        </w:tc>
        <w:tc>
          <w:tcPr>
            <w:tcW w:w="8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7"/>
              </w:rPr>
              <w:t>Net Carrying</w:t>
            </w: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80"/>
              <w:spacing w:after="0" w:line="129" w:lineRule="exact"/>
              <w:rPr>
                <w:sz w:val="20"/>
                <w:szCs w:val="20"/>
                <w:color w:val="auto"/>
              </w:rPr>
            </w:pPr>
            <w:r>
              <w:rPr>
                <w:rFonts w:ascii="Arial" w:cs="Arial" w:eastAsia="Arial" w:hAnsi="Arial"/>
                <w:sz w:val="12"/>
                <w:szCs w:val="12"/>
                <w:b w:val="1"/>
                <w:bCs w:val="1"/>
                <w:color w:val="auto"/>
                <w:w w:val="97"/>
              </w:rPr>
              <w:t>Carrying</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Amortization</w:t>
            </w:r>
          </w:p>
        </w:tc>
        <w:tc>
          <w:tcPr>
            <w:tcW w:w="0" w:type="dxa"/>
            <w:vAlign w:val="bottom"/>
          </w:tcPr>
          <w:p>
            <w:pPr>
              <w:spacing w:after="0"/>
              <w:rPr>
                <w:sz w:val="1"/>
                <w:szCs w:val="1"/>
                <w:color w:val="auto"/>
              </w:rPr>
            </w:pPr>
          </w:p>
        </w:tc>
      </w:tr>
      <w:tr>
        <w:trPr>
          <w:trHeight w:val="166"/>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Amount</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Amortization</w:t>
            </w:r>
          </w:p>
        </w:tc>
        <w:tc>
          <w:tcPr>
            <w:tcW w:w="160" w:type="dxa"/>
            <w:vAlign w:val="bottom"/>
          </w:tcPr>
          <w:p>
            <w:pPr>
              <w:spacing w:after="0"/>
              <w:rPr>
                <w:sz w:val="14"/>
                <w:szCs w:val="14"/>
                <w:color w:val="auto"/>
              </w:rPr>
            </w:pPr>
          </w:p>
        </w:tc>
        <w:tc>
          <w:tcPr>
            <w:tcW w:w="720" w:type="dxa"/>
            <w:vAlign w:val="bottom"/>
          </w:tcPr>
          <w:p>
            <w:pPr>
              <w:jc w:val="center"/>
              <w:ind w:right="91"/>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0"/>
              </w:rPr>
              <w:t>Period</w:t>
            </w:r>
          </w:p>
        </w:tc>
        <w:tc>
          <w:tcPr>
            <w:tcW w:w="0" w:type="dxa"/>
            <w:vAlign w:val="bottom"/>
          </w:tcPr>
          <w:p>
            <w:pPr>
              <w:spacing w:after="0"/>
              <w:rPr>
                <w:sz w:val="1"/>
                <w:szCs w:val="1"/>
                <w:color w:val="auto"/>
              </w:rPr>
            </w:pPr>
          </w:p>
        </w:tc>
      </w:tr>
      <w:tr>
        <w:trPr>
          <w:trHeight w:val="211"/>
        </w:trPr>
        <w:tc>
          <w:tcPr>
            <w:tcW w:w="67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Amortizing intangible assets:</w:t>
            </w: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CCFFCC"/>
            </w:tcBorders>
            <w:shd w:val="clear" w:color="auto" w:fill="CCFFCC"/>
          </w:tcPr>
          <w:p>
            <w:pPr>
              <w:spacing w:after="0"/>
              <w:rPr>
                <w:sz w:val="18"/>
                <w:szCs w:val="18"/>
                <w:color w:val="auto"/>
              </w:rPr>
            </w:pPr>
          </w:p>
        </w:tc>
        <w:tc>
          <w:tcPr>
            <w:tcW w:w="106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CCFFCC"/>
            </w:tcBorders>
            <w:shd w:val="clear" w:color="auto" w:fill="CCFFCC"/>
          </w:tcPr>
          <w:p>
            <w:pPr>
              <w:spacing w:after="0"/>
              <w:rPr>
                <w:sz w:val="18"/>
                <w:szCs w:val="18"/>
                <w:color w:val="auto"/>
              </w:rPr>
            </w:pP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140"/>
              <w:spacing w:after="0"/>
              <w:rPr>
                <w:sz w:val="20"/>
                <w:szCs w:val="20"/>
                <w:color w:val="auto"/>
              </w:rPr>
            </w:pPr>
            <w:r>
              <w:rPr>
                <w:rFonts w:ascii="Arial" w:cs="Arial" w:eastAsia="Arial" w:hAnsi="Arial"/>
                <w:sz w:val="14"/>
                <w:szCs w:val="14"/>
                <w:color w:val="auto"/>
              </w:rPr>
              <w:t>Technology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30,413</w:t>
            </w:r>
          </w:p>
        </w:tc>
        <w:tc>
          <w:tcPr>
            <w:tcW w:w="12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(25,187)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5,226</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 years</w:t>
            </w: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74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Customer relationships</w:t>
            </w: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16,964</w:t>
            </w: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(12,958)</w:t>
            </w: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4,006</w:t>
            </w:r>
          </w:p>
        </w:tc>
        <w:tc>
          <w:tcPr>
            <w:tcW w:w="10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8.4 years</w:t>
            </w:r>
          </w:p>
        </w:tc>
        <w:tc>
          <w:tcPr>
            <w:tcW w:w="0" w:type="dxa"/>
            <w:vAlign w:val="bottom"/>
          </w:tcPr>
          <w:p>
            <w:pPr>
              <w:spacing w:after="0"/>
              <w:rPr>
                <w:sz w:val="1"/>
                <w:szCs w:val="1"/>
                <w:color w:val="auto"/>
              </w:rPr>
            </w:pPr>
          </w:p>
        </w:tc>
      </w:tr>
      <w:tr>
        <w:trPr>
          <w:trHeight w:val="206"/>
        </w:trPr>
        <w:tc>
          <w:tcPr>
            <w:tcW w:w="6740" w:type="dxa"/>
            <w:vAlign w:val="bottom"/>
          </w:tcPr>
          <w:p>
            <w:pPr>
              <w:ind w:left="140"/>
              <w:spacing w:after="0"/>
              <w:rPr>
                <w:sz w:val="20"/>
                <w:szCs w:val="20"/>
                <w:color w:val="auto"/>
              </w:rPr>
            </w:pPr>
            <w:r>
              <w:rPr>
                <w:rFonts w:ascii="Arial" w:cs="Arial" w:eastAsia="Arial" w:hAnsi="Arial"/>
                <w:sz w:val="14"/>
                <w:szCs w:val="14"/>
                <w:color w:val="auto"/>
              </w:rPr>
              <w:t>Patents</w:t>
            </w:r>
          </w:p>
        </w:tc>
        <w:tc>
          <w:tcPr>
            <w:tcW w:w="160" w:type="dxa"/>
            <w:vAlign w:val="bottom"/>
          </w:tcPr>
          <w:p>
            <w:pPr>
              <w:spacing w:after="0"/>
              <w:rPr>
                <w:sz w:val="17"/>
                <w:szCs w:val="17"/>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3,267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2,553</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12.8 years</w:t>
            </w:r>
          </w:p>
        </w:tc>
        <w:tc>
          <w:tcPr>
            <w:tcW w:w="0" w:type="dxa"/>
            <w:vAlign w:val="bottom"/>
          </w:tcPr>
          <w:p>
            <w:pPr>
              <w:spacing w:after="0"/>
              <w:rPr>
                <w:sz w:val="1"/>
                <w:szCs w:val="1"/>
                <w:color w:val="auto"/>
              </w:rPr>
            </w:pPr>
          </w:p>
        </w:tc>
      </w:tr>
      <w:tr>
        <w:trPr>
          <w:trHeight w:val="28"/>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74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 years</w:t>
            </w:r>
          </w:p>
        </w:tc>
        <w:tc>
          <w:tcPr>
            <w:tcW w:w="0" w:type="dxa"/>
            <w:vAlign w:val="bottom"/>
          </w:tcPr>
          <w:p>
            <w:pPr>
              <w:spacing w:after="0"/>
              <w:rPr>
                <w:sz w:val="1"/>
                <w:szCs w:val="1"/>
                <w:color w:val="auto"/>
              </w:rPr>
            </w:pPr>
          </w:p>
        </w:tc>
      </w:tr>
      <w:tr>
        <w:trPr>
          <w:trHeight w:val="205"/>
        </w:trPr>
        <w:tc>
          <w:tcPr>
            <w:tcW w:w="6740" w:type="dxa"/>
            <w:vAlign w:val="bottom"/>
          </w:tcPr>
          <w:p>
            <w:pPr>
              <w:ind w:left="2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50,906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(39,094)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11,812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70" w:right="339" w:bottom="1440" w:gutter="0" w:footer="0" w:header="0"/>
        </w:sectPr>
      </w:pPr>
    </w:p>
    <w:bookmarkStart w:id="21" w:name="page22"/>
    <w:bookmarkEnd w:id="21"/>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ind w:left="7" w:firstLine="561"/>
        <w:spacing w:after="0" w:line="250"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$0.7 million for the three months ended June 30, 2020 and 2019, respectively, and $1.4 million and $1.5 million for the six months ended June 30, 2020 and 2019, respectively. For the three and six months ended June 30, 2020 and 2019, respectively, a portion of this amortization is included in cost of revenue. Estimated amortization expense for the next five years is as follows (amounts in thousands):</w:t>
      </w:r>
    </w:p>
    <w:p>
      <w:pPr>
        <w:spacing w:after="0" w:line="266"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9220" w:type="dxa"/>
            <w:vAlign w:val="bottom"/>
            <w:tcBorders>
              <w:bottom w:val="single" w:sz="8" w:color="CCFFC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w w:val="94"/>
              </w:rPr>
              <w:t>Estimated Amortization Expense</w:t>
            </w:r>
          </w:p>
        </w:tc>
      </w:tr>
      <w:tr>
        <w:trPr>
          <w:trHeight w:val="199"/>
        </w:trPr>
        <w:tc>
          <w:tcPr>
            <w:tcW w:w="9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Remaining 2020</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1,375</w:t>
            </w:r>
          </w:p>
        </w:tc>
      </w:tr>
      <w:tr>
        <w:trPr>
          <w:trHeight w:val="194"/>
        </w:trPr>
        <w:tc>
          <w:tcPr>
            <w:tcW w:w="922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900" w:type="dxa"/>
            <w:vAlign w:val="bottom"/>
          </w:tcPr>
          <w:p>
            <w:pPr>
              <w:jc w:val="right"/>
              <w:ind w:right="31"/>
              <w:spacing w:after="0"/>
              <w:rPr>
                <w:sz w:val="20"/>
                <w:szCs w:val="20"/>
                <w:color w:val="auto"/>
              </w:rPr>
            </w:pPr>
            <w:r>
              <w:rPr>
                <w:rFonts w:ascii="Arial" w:cs="Arial" w:eastAsia="Arial" w:hAnsi="Arial"/>
                <w:sz w:val="14"/>
                <w:szCs w:val="14"/>
                <w:color w:val="auto"/>
              </w:rPr>
              <w:t>2,551</w:t>
            </w:r>
          </w:p>
        </w:tc>
      </w:tr>
      <w:tr>
        <w:trPr>
          <w:trHeight w:val="28"/>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2"/>
        </w:trPr>
        <w:tc>
          <w:tcPr>
            <w:tcW w:w="9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FFCC"/>
            </w:tcBorders>
            <w:shd w:val="clear" w:color="auto" w:fill="CCFFCC"/>
          </w:tcPr>
          <w:p>
            <w:pPr>
              <w:spacing w:after="0"/>
              <w:rPr>
                <w:sz w:val="17"/>
                <w:szCs w:val="17"/>
                <w:color w:val="auto"/>
              </w:rPr>
            </w:pPr>
          </w:p>
        </w:tc>
        <w:tc>
          <w:tcPr>
            <w:tcW w:w="19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2,199</w:t>
            </w:r>
          </w:p>
        </w:tc>
      </w:tr>
      <w:tr>
        <w:trPr>
          <w:trHeight w:val="194"/>
        </w:trPr>
        <w:tc>
          <w:tcPr>
            <w:tcW w:w="922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1900" w:type="dxa"/>
            <w:vAlign w:val="bottom"/>
          </w:tcPr>
          <w:p>
            <w:pPr>
              <w:jc w:val="right"/>
              <w:ind w:right="31"/>
              <w:spacing w:after="0"/>
              <w:rPr>
                <w:sz w:val="20"/>
                <w:szCs w:val="20"/>
                <w:color w:val="auto"/>
              </w:rPr>
            </w:pPr>
            <w:r>
              <w:rPr>
                <w:rFonts w:ascii="Arial" w:cs="Arial" w:eastAsia="Arial" w:hAnsi="Arial"/>
                <w:sz w:val="14"/>
                <w:szCs w:val="14"/>
                <w:color w:val="auto"/>
              </w:rPr>
              <w:t>917</w:t>
            </w:r>
          </w:p>
        </w:tc>
      </w:tr>
      <w:tr>
        <w:trPr>
          <w:trHeight w:val="28"/>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2"/>
        </w:trPr>
        <w:tc>
          <w:tcPr>
            <w:tcW w:w="9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FFCC"/>
            </w:tcBorders>
            <w:shd w:val="clear" w:color="auto" w:fill="CCFFCC"/>
          </w:tcPr>
          <w:p>
            <w:pPr>
              <w:spacing w:after="0"/>
              <w:rPr>
                <w:sz w:val="17"/>
                <w:szCs w:val="17"/>
                <w:color w:val="auto"/>
              </w:rPr>
            </w:pPr>
          </w:p>
        </w:tc>
        <w:tc>
          <w:tcPr>
            <w:tcW w:w="19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719</w:t>
            </w:r>
          </w:p>
        </w:tc>
      </w:tr>
      <w:tr>
        <w:trPr>
          <w:trHeight w:val="194"/>
        </w:trPr>
        <w:tc>
          <w:tcPr>
            <w:tcW w:w="92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20" w:type="dxa"/>
            <w:vAlign w:val="bottom"/>
          </w:tcPr>
          <w:p>
            <w:pPr>
              <w:spacing w:after="0"/>
              <w:rPr>
                <w:sz w:val="16"/>
                <w:szCs w:val="16"/>
                <w:color w:val="auto"/>
              </w:rPr>
            </w:pPr>
          </w:p>
        </w:tc>
        <w:tc>
          <w:tcPr>
            <w:tcW w:w="1900" w:type="dxa"/>
            <w:vAlign w:val="bottom"/>
          </w:tcPr>
          <w:p>
            <w:pPr>
              <w:jc w:val="right"/>
              <w:ind w:right="31"/>
              <w:spacing w:after="0"/>
              <w:rPr>
                <w:sz w:val="20"/>
                <w:szCs w:val="20"/>
                <w:color w:val="auto"/>
              </w:rPr>
            </w:pPr>
            <w:r>
              <w:rPr>
                <w:rFonts w:ascii="Arial" w:cs="Arial" w:eastAsia="Arial" w:hAnsi="Arial"/>
                <w:sz w:val="14"/>
                <w:szCs w:val="14"/>
                <w:color w:val="auto"/>
              </w:rPr>
              <w:t>3,348</w:t>
            </w:r>
          </w:p>
        </w:tc>
      </w:tr>
      <w:tr>
        <w:trPr>
          <w:trHeight w:val="28"/>
        </w:trPr>
        <w:tc>
          <w:tcPr>
            <w:tcW w:w="9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5"/>
        </w:trPr>
        <w:tc>
          <w:tcPr>
            <w:tcW w:w="92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4"/>
                <w:szCs w:val="14"/>
                <w:color w:val="auto"/>
              </w:rPr>
              <w:t>11,109</w:t>
            </w:r>
          </w:p>
        </w:tc>
      </w:tr>
      <w:tr>
        <w:trPr>
          <w:trHeight w:val="20"/>
        </w:trPr>
        <w:tc>
          <w:tcPr>
            <w:tcW w:w="9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
        <w:spacing w:after="0"/>
        <w:tabs>
          <w:tab w:leader="none" w:pos="266"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4"/>
          <w:szCs w:val="14"/>
          <w:b w:val="1"/>
          <w:bCs w:val="1"/>
          <w:color w:val="auto"/>
        </w:rPr>
        <w:t>Property and Equipment</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following table presents the detail of property and equipment for the periods presented (amounts in thousands):</w:t>
      </w:r>
    </w:p>
    <w:p>
      <w:pPr>
        <w:spacing w:after="0" w:line="220"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8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200"/>
              <w:spacing w:after="0"/>
              <w:rPr>
                <w:sz w:val="20"/>
                <w:szCs w:val="20"/>
                <w:color w:val="auto"/>
              </w:rPr>
            </w:pPr>
            <w:r>
              <w:rPr>
                <w:rFonts w:ascii="Arial" w:cs="Arial" w:eastAsia="Arial" w:hAnsi="Arial"/>
                <w:sz w:val="12"/>
                <w:szCs w:val="12"/>
                <w:b w:val="1"/>
                <w:bCs w:val="1"/>
                <w:color w:val="auto"/>
              </w:rPr>
              <w:t>June 30,</w:t>
            </w:r>
          </w:p>
        </w:tc>
        <w:tc>
          <w:tcPr>
            <w:tcW w:w="220" w:type="dxa"/>
            <w:vAlign w:val="bottom"/>
          </w:tcPr>
          <w:p>
            <w:pPr>
              <w:spacing w:after="0"/>
              <w:rPr>
                <w:sz w:val="12"/>
                <w:szCs w:val="12"/>
                <w:color w:val="auto"/>
              </w:rPr>
            </w:pPr>
          </w:p>
        </w:tc>
        <w:tc>
          <w:tcPr>
            <w:tcW w:w="1220" w:type="dxa"/>
            <w:vAlign w:val="bottom"/>
          </w:tcPr>
          <w:p>
            <w:pPr>
              <w:jc w:val="right"/>
              <w:ind w:right="312"/>
              <w:spacing w:after="0"/>
              <w:rPr>
                <w:sz w:val="20"/>
                <w:szCs w:val="20"/>
                <w:color w:val="auto"/>
              </w:rPr>
            </w:pPr>
            <w:r>
              <w:rPr>
                <w:rFonts w:ascii="Arial" w:cs="Arial" w:eastAsia="Arial" w:hAnsi="Arial"/>
                <w:sz w:val="12"/>
                <w:szCs w:val="12"/>
                <w:b w:val="1"/>
                <w:bCs w:val="1"/>
                <w:color w:val="auto"/>
              </w:rPr>
              <w:t>December 31,</w:t>
            </w:r>
          </w:p>
        </w:tc>
      </w:tr>
      <w:tr>
        <w:trPr>
          <w:trHeight w:val="166"/>
        </w:trPr>
        <w:tc>
          <w:tcPr>
            <w:tcW w:w="8200" w:type="dxa"/>
            <w:vAlign w:val="bottom"/>
            <w:tcBorders>
              <w:bottom w:val="single" w:sz="8" w:color="CCFFC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2019</w:t>
            </w:r>
          </w:p>
        </w:tc>
      </w:tr>
      <w:tr>
        <w:trPr>
          <w:trHeight w:val="199"/>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Computer equipment and software</w:t>
            </w:r>
          </w:p>
        </w:tc>
        <w:tc>
          <w:tcPr>
            <w:tcW w:w="30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100,549</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92,493</w:t>
            </w:r>
          </w:p>
        </w:tc>
      </w:tr>
      <w:tr>
        <w:trPr>
          <w:trHeight w:val="206"/>
        </w:trPr>
        <w:tc>
          <w:tcPr>
            <w:tcW w:w="8200" w:type="dxa"/>
            <w:vAlign w:val="bottom"/>
          </w:tcPr>
          <w:p>
            <w:pPr>
              <w:ind w:left="20"/>
              <w:spacing w:after="0"/>
              <w:rPr>
                <w:sz w:val="20"/>
                <w:szCs w:val="20"/>
                <w:color w:val="auto"/>
              </w:rPr>
            </w:pPr>
            <w:r>
              <w:rPr>
                <w:rFonts w:ascii="Arial" w:cs="Arial" w:eastAsia="Arial" w:hAnsi="Arial"/>
                <w:sz w:val="14"/>
                <w:szCs w:val="14"/>
                <w:color w:val="auto"/>
              </w:rPr>
              <w:t>Furniture, equipment and building improvements</w:t>
            </w:r>
          </w:p>
        </w:tc>
        <w:tc>
          <w:tcPr>
            <w:tcW w:w="300" w:type="dxa"/>
            <w:vAlign w:val="bottom"/>
          </w:tcPr>
          <w:p>
            <w:pPr>
              <w:spacing w:after="0"/>
              <w:rPr>
                <w:sz w:val="17"/>
                <w:szCs w:val="17"/>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16,660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16,487</w:t>
            </w:r>
          </w:p>
        </w:tc>
      </w:tr>
      <w:tr>
        <w:trPr>
          <w:trHeight w:val="28"/>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4"/>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Internal-use software development costs</w:t>
            </w:r>
          </w:p>
        </w:tc>
        <w:tc>
          <w:tcPr>
            <w:tcW w:w="300" w:type="dxa"/>
            <w:vAlign w:val="bottom"/>
            <w:tcBorders>
              <w:bottom w:val="single" w:sz="8" w:color="CCFFCC"/>
            </w:tcBorders>
            <w:shd w:val="clear" w:color="auto" w:fill="CCFFCC"/>
          </w:tcPr>
          <w:p>
            <w:pPr>
              <w:spacing w:after="0"/>
              <w:rPr>
                <w:sz w:val="20"/>
                <w:szCs w:val="20"/>
                <w:color w:val="auto"/>
              </w:rPr>
            </w:pPr>
          </w:p>
        </w:tc>
        <w:tc>
          <w:tcPr>
            <w:tcW w:w="11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70,131</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2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52,544</w:t>
            </w:r>
          </w:p>
        </w:tc>
      </w:tr>
      <w:tr>
        <w:trPr>
          <w:trHeight w:val="186"/>
        </w:trPr>
        <w:tc>
          <w:tcPr>
            <w:tcW w:w="8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187,340</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161,524</w:t>
            </w:r>
          </w:p>
        </w:tc>
      </w:tr>
      <w:tr>
        <w:trPr>
          <w:trHeight w:val="28"/>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4"/>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Less: accumulated depreciation</w:t>
            </w:r>
          </w:p>
        </w:tc>
        <w:tc>
          <w:tcPr>
            <w:tcW w:w="300" w:type="dxa"/>
            <w:vAlign w:val="bottom"/>
            <w:tcBorders>
              <w:bottom w:val="single" w:sz="8" w:color="CCFFCC"/>
            </w:tcBorders>
            <w:shd w:val="clear" w:color="auto" w:fill="CCFFCC"/>
          </w:tcPr>
          <w:p>
            <w:pPr>
              <w:spacing w:after="0"/>
              <w:rPr>
                <w:sz w:val="20"/>
                <w:szCs w:val="20"/>
                <w:color w:val="auto"/>
              </w:rPr>
            </w:pPr>
          </w:p>
        </w:tc>
        <w:tc>
          <w:tcPr>
            <w:tcW w:w="11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4"/>
                <w:szCs w:val="14"/>
                <w:color w:val="auto"/>
              </w:rPr>
              <w:t>(96,102)</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(85,288)</w:t>
            </w:r>
          </w:p>
        </w:tc>
      </w:tr>
      <w:tr>
        <w:trPr>
          <w:trHeight w:val="205"/>
        </w:trPr>
        <w:tc>
          <w:tcPr>
            <w:tcW w:w="8200" w:type="dxa"/>
            <w:vAlign w:val="bottom"/>
          </w:tcPr>
          <w:p>
            <w:pPr>
              <w:ind w:left="22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91,238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76,236</w:t>
            </w:r>
          </w:p>
        </w:tc>
      </w:tr>
      <w:tr>
        <w:trPr>
          <w:trHeight w:val="20"/>
        </w:trPr>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7" w:hanging="287"/>
        <w:spacing w:after="0"/>
        <w:tabs>
          <w:tab w:leader="none" w:pos="287"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Accrued Expenses and Other Current Liabilities</w:t>
      </w:r>
    </w:p>
    <w:p>
      <w:pPr>
        <w:spacing w:after="0" w:line="194"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following table presents the detail of accrued expenses and other current liabilities for the periods presented (amounts in thousands):</w:t>
      </w:r>
    </w:p>
    <w:p>
      <w:pPr>
        <w:spacing w:after="0" w:line="220"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8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311"/>
              <w:spacing w:after="0"/>
              <w:rPr>
                <w:sz w:val="20"/>
                <w:szCs w:val="20"/>
                <w:color w:val="auto"/>
              </w:rPr>
            </w:pPr>
            <w:r>
              <w:rPr>
                <w:rFonts w:ascii="Arial" w:cs="Arial" w:eastAsia="Arial" w:hAnsi="Arial"/>
                <w:sz w:val="12"/>
                <w:szCs w:val="12"/>
                <w:b w:val="1"/>
                <w:bCs w:val="1"/>
                <w:color w:val="auto"/>
              </w:rPr>
              <w:t>December 31,</w:t>
            </w:r>
          </w:p>
        </w:tc>
      </w:tr>
      <w:tr>
        <w:trPr>
          <w:trHeight w:val="166"/>
        </w:trPr>
        <w:tc>
          <w:tcPr>
            <w:tcW w:w="820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2020</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2019</w:t>
            </w:r>
          </w:p>
        </w:tc>
      </w:tr>
      <w:tr>
        <w:trPr>
          <w:trHeight w:val="199"/>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Payroll and other employee related costs</w:t>
            </w:r>
          </w:p>
        </w:tc>
        <w:tc>
          <w:tcPr>
            <w:tcW w:w="960" w:type="dxa"/>
            <w:vAlign w:val="bottom"/>
            <w:tcBorders>
              <w:bottom w:val="single" w:sz="8" w:color="CCFFCC"/>
            </w:tcBorders>
            <w:shd w:val="clear" w:color="auto" w:fill="CCFFCC"/>
          </w:tcPr>
          <w:p>
            <w:pPr>
              <w:jc w:val="right"/>
              <w:ind w:right="79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w w:val="88"/>
              </w:rPr>
              <w:t>23,865</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27,920</w:t>
            </w:r>
          </w:p>
        </w:tc>
      </w:tr>
      <w:tr>
        <w:trPr>
          <w:trHeight w:val="206"/>
        </w:trPr>
        <w:tc>
          <w:tcPr>
            <w:tcW w:w="8200" w:type="dxa"/>
            <w:vAlign w:val="bottom"/>
          </w:tcPr>
          <w:p>
            <w:pPr>
              <w:ind w:left="20"/>
              <w:spacing w:after="0"/>
              <w:rPr>
                <w:sz w:val="20"/>
                <w:szCs w:val="20"/>
                <w:color w:val="auto"/>
              </w:rPr>
            </w:pPr>
            <w:r>
              <w:rPr>
                <w:rFonts w:ascii="Arial" w:cs="Arial" w:eastAsia="Arial" w:hAnsi="Arial"/>
                <w:sz w:val="14"/>
                <w:szCs w:val="14"/>
                <w:color w:val="auto"/>
              </w:rPr>
              <w:t>Professional services and consulting and other vendor fees</w:t>
            </w:r>
          </w:p>
        </w:tc>
        <w:tc>
          <w:tcPr>
            <w:tcW w:w="960" w:type="dxa"/>
            <w:vAlign w:val="bottom"/>
          </w:tcPr>
          <w:p>
            <w:pPr>
              <w:spacing w:after="0"/>
              <w:rPr>
                <w:sz w:val="17"/>
                <w:szCs w:val="17"/>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w w:val="88"/>
              </w:rPr>
              <w:t>28,944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20,382</w:t>
            </w:r>
          </w:p>
        </w:tc>
      </w:tr>
      <w:tr>
        <w:trPr>
          <w:trHeight w:val="28"/>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4"/>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Unrecognized tax benefits</w:t>
            </w:r>
          </w:p>
        </w:tc>
        <w:tc>
          <w:tcPr>
            <w:tcW w:w="96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2,057</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2,053</w:t>
            </w:r>
          </w:p>
        </w:tc>
      </w:tr>
      <w:tr>
        <w:trPr>
          <w:trHeight w:val="206"/>
        </w:trPr>
        <w:tc>
          <w:tcPr>
            <w:tcW w:w="8200" w:type="dxa"/>
            <w:vAlign w:val="bottom"/>
          </w:tcPr>
          <w:p>
            <w:pPr>
              <w:ind w:left="20"/>
              <w:spacing w:after="0"/>
              <w:rPr>
                <w:sz w:val="20"/>
                <w:szCs w:val="20"/>
                <w:color w:val="auto"/>
              </w:rPr>
            </w:pPr>
            <w:r>
              <w:rPr>
                <w:rFonts w:ascii="Arial" w:cs="Arial" w:eastAsia="Arial" w:hAnsi="Arial"/>
                <w:sz w:val="14"/>
                <w:szCs w:val="14"/>
                <w:color w:val="auto"/>
              </w:rPr>
              <w:t>Sales commissions</w:t>
            </w:r>
          </w:p>
        </w:tc>
        <w:tc>
          <w:tcPr>
            <w:tcW w:w="960" w:type="dxa"/>
            <w:vAlign w:val="bottom"/>
          </w:tcPr>
          <w:p>
            <w:pPr>
              <w:spacing w:after="0"/>
              <w:rPr>
                <w:sz w:val="17"/>
                <w:szCs w:val="17"/>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5,765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9,654</w:t>
            </w:r>
          </w:p>
        </w:tc>
      </w:tr>
      <w:tr>
        <w:trPr>
          <w:trHeight w:val="28"/>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4"/>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Contingent earn-out (see Notes 9 and 10)</w:t>
            </w:r>
          </w:p>
        </w:tc>
        <w:tc>
          <w:tcPr>
            <w:tcW w:w="96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2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557</w:t>
            </w:r>
          </w:p>
        </w:tc>
      </w:tr>
      <w:tr>
        <w:trPr>
          <w:trHeight w:val="206"/>
        </w:trPr>
        <w:tc>
          <w:tcPr>
            <w:tcW w:w="8200" w:type="dxa"/>
            <w:vAlign w:val="bottom"/>
          </w:tcPr>
          <w:p>
            <w:pPr>
              <w:ind w:left="20"/>
              <w:spacing w:after="0"/>
              <w:rPr>
                <w:sz w:val="20"/>
                <w:szCs w:val="20"/>
                <w:color w:val="auto"/>
              </w:rPr>
            </w:pPr>
            <w:r>
              <w:rPr>
                <w:rFonts w:ascii="Arial" w:cs="Arial" w:eastAsia="Arial" w:hAnsi="Arial"/>
                <w:sz w:val="14"/>
                <w:szCs w:val="14"/>
                <w:color w:val="auto"/>
              </w:rPr>
              <w:t>Restructuring (see Note 13)</w:t>
            </w:r>
          </w:p>
        </w:tc>
        <w:tc>
          <w:tcPr>
            <w:tcW w:w="960" w:type="dxa"/>
            <w:vAlign w:val="bottom"/>
          </w:tcPr>
          <w:p>
            <w:pPr>
              <w:spacing w:after="0"/>
              <w:rPr>
                <w:sz w:val="17"/>
                <w:szCs w:val="17"/>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314</w:t>
            </w:r>
          </w:p>
        </w:tc>
      </w:tr>
      <w:tr>
        <w:trPr>
          <w:trHeight w:val="28"/>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4"/>
        </w:trPr>
        <w:tc>
          <w:tcPr>
            <w:tcW w:w="8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Sales tax liabilities</w:t>
            </w:r>
          </w:p>
        </w:tc>
        <w:tc>
          <w:tcPr>
            <w:tcW w:w="96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2,630</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22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w:t>
            </w:r>
          </w:p>
        </w:tc>
      </w:tr>
      <w:tr>
        <w:trPr>
          <w:trHeight w:val="206"/>
        </w:trPr>
        <w:tc>
          <w:tcPr>
            <w:tcW w:w="8200" w:type="dxa"/>
            <w:vAlign w:val="bottom"/>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7"/>
                <w:szCs w:val="17"/>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2,691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1,898</w:t>
            </w:r>
          </w:p>
        </w:tc>
      </w:tr>
      <w:tr>
        <w:trPr>
          <w:trHeight w:val="28"/>
        </w:trPr>
        <w:tc>
          <w:tcPr>
            <w:tcW w:w="8200" w:type="dxa"/>
            <w:vAlign w:val="bottom"/>
            <w:tcBorders>
              <w:bottom w:val="single" w:sz="8" w:color="CCFFC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82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CFFCC"/>
          </w:tcPr>
          <w:p>
            <w:pPr>
              <w:jc w:val="right"/>
              <w:ind w:right="79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w w:val="88"/>
              </w:rPr>
              <w:t>65,963</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FFCC"/>
          </w:tcPr>
          <w:p>
            <w:pPr>
              <w:jc w:val="right"/>
              <w:ind w:right="51"/>
              <w:spacing w:after="0"/>
              <w:rPr>
                <w:sz w:val="20"/>
                <w:szCs w:val="20"/>
                <w:color w:val="auto"/>
              </w:rPr>
            </w:pPr>
            <w:r>
              <w:rPr>
                <w:rFonts w:ascii="Arial" w:cs="Arial" w:eastAsia="Arial" w:hAnsi="Arial"/>
                <w:sz w:val="14"/>
                <w:szCs w:val="14"/>
                <w:color w:val="auto"/>
              </w:rPr>
              <w:t>62,778</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7"/>
          </w:cols>
          <w:pgMar w:left="313" w:top="170" w:right="319" w:bottom="1440" w:gutter="0" w:footer="0" w:header="0"/>
        </w:sectPr>
      </w:pPr>
    </w:p>
    <w:bookmarkStart w:id="22" w:name="page23"/>
    <w:bookmarkEnd w:id="22"/>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ind w:left="287" w:hanging="287"/>
        <w:spacing w:after="0"/>
        <w:tabs>
          <w:tab w:leader="none" w:pos="287"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Senior Notes and Capped Call Transactions</w:t>
      </w:r>
    </w:p>
    <w:p>
      <w:pPr>
        <w:spacing w:after="0" w:line="194" w:lineRule="exact"/>
        <w:rPr>
          <w:sz w:val="20"/>
          <w:szCs w:val="20"/>
          <w:color w:val="auto"/>
        </w:rPr>
      </w:pPr>
    </w:p>
    <w:p>
      <w:pPr>
        <w:jc w:val="both"/>
        <w:ind w:left="7" w:right="20" w:firstLine="561"/>
        <w:spacing w:after="0" w:line="306" w:lineRule="auto"/>
        <w:rPr>
          <w:sz w:val="20"/>
          <w:szCs w:val="20"/>
          <w:color w:val="auto"/>
        </w:rPr>
      </w:pPr>
      <w:r>
        <w:rPr>
          <w:rFonts w:ascii="Arial" w:cs="Arial" w:eastAsia="Arial" w:hAnsi="Arial"/>
          <w:sz w:val="14"/>
          <w:szCs w:val="14"/>
          <w:color w:val="auto"/>
        </w:rPr>
        <w:t>In March 2019, the Company issued $230.0 million aggregate principal amount of 0.750% Convertible Senior Notes due 2024 in a private placement, which amount includes $30.0 million aggregate principal amount of such Notes pursuant to the exercise in full of the over-allotment options of the initial purchasers (collectively, the “Notes”). The interest on the Notes is payable semi-annually in arrears on March 1 and September 1 of each year, beginning on September 1, 2019.</w:t>
      </w:r>
    </w:p>
    <w:p>
      <w:pPr>
        <w:spacing w:after="0" w:line="38" w:lineRule="exact"/>
        <w:rPr>
          <w:sz w:val="20"/>
          <w:szCs w:val="20"/>
          <w:color w:val="auto"/>
        </w:rPr>
      </w:pPr>
    </w:p>
    <w:p>
      <w:pPr>
        <w:jc w:val="both"/>
        <w:ind w:left="7" w:right="20" w:firstLine="606"/>
        <w:spacing w:after="0" w:line="263" w:lineRule="auto"/>
        <w:rPr>
          <w:sz w:val="20"/>
          <w:szCs w:val="20"/>
          <w:color w:val="auto"/>
        </w:rPr>
      </w:pPr>
      <w:r>
        <w:rPr>
          <w:rFonts w:ascii="Arial" w:cs="Arial" w:eastAsia="Arial" w:hAnsi="Arial"/>
          <w:sz w:val="16"/>
          <w:szCs w:val="16"/>
          <w:color w:val="auto"/>
        </w:rPr>
        <w:t>The Notes will mature on March 1, 2024, unless earlier repurchased or redeemed by the Company or converted pursuant to their terms. The total net proceeds from the debt offering, after deducting debt issuance costs, paid or payable by us, was approximately $221.0 million.</w:t>
      </w:r>
    </w:p>
    <w:p>
      <w:pPr>
        <w:spacing w:after="0" w:line="64" w:lineRule="exact"/>
        <w:rPr>
          <w:sz w:val="20"/>
          <w:szCs w:val="20"/>
          <w:color w:val="auto"/>
        </w:rPr>
      </w:pPr>
    </w:p>
    <w:p>
      <w:pPr>
        <w:jc w:val="both"/>
        <w:ind w:left="7" w:firstLine="600"/>
        <w:spacing w:after="0" w:line="281" w:lineRule="auto"/>
        <w:rPr>
          <w:sz w:val="20"/>
          <w:szCs w:val="20"/>
          <w:color w:val="auto"/>
        </w:rPr>
      </w:pPr>
      <w:r>
        <w:rPr>
          <w:rFonts w:ascii="Arial" w:cs="Arial" w:eastAsia="Arial" w:hAnsi="Arial"/>
          <w:sz w:val="14"/>
          <w:szCs w:val="14"/>
          <w:color w:val="auto"/>
        </w:rPr>
        <w:t>Each $1,000 principal amount of the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Notes in connection with such a corporate event. The Notes are not redeemable prior to the maturity date of the Notes and no sinking fund is provided for the Notes. If we undergo a fundamental change (as defined in the indenture governing the Notes) prior to the maturity date, holders may require us to repurchase for cash all or any portion of their Notes in principal amounts of $1,000 or a multiple thereof at a fundamental change repurchase price equal to 100% of the principal amount of the Notes to be repurchased, plus accrued and unpaid interest to, but excluding, the fundamental change repurchase date.</w:t>
      </w:r>
    </w:p>
    <w:p>
      <w:pPr>
        <w:spacing w:after="0" w:line="1" w:lineRule="exact"/>
        <w:rPr>
          <w:sz w:val="20"/>
          <w:szCs w:val="20"/>
          <w:color w:val="auto"/>
        </w:rPr>
      </w:pPr>
    </w:p>
    <w:p>
      <w:pPr>
        <w:jc w:val="both"/>
        <w:ind w:left="7" w:firstLine="561"/>
        <w:spacing w:after="0" w:line="282" w:lineRule="auto"/>
        <w:rPr>
          <w:sz w:val="20"/>
          <w:szCs w:val="20"/>
          <w:color w:val="auto"/>
        </w:rPr>
      </w:pPr>
      <w:r>
        <w:rPr>
          <w:rFonts w:ascii="Arial" w:cs="Arial" w:eastAsia="Arial" w:hAnsi="Arial"/>
          <w:sz w:val="14"/>
          <w:szCs w:val="14"/>
          <w:color w:val="auto"/>
        </w:rPr>
        <w:t>Holders of the Notes may convert their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as determined by the Company; (2) during the five business day period after any five consecutive trading day period (the “measurement period”) in which the “trading price” (as defined in the indenture governing the Notes) per $1,000 principal amount of Notes for each trading day of the measurement period was less than 98% of the product of the last reported sale price of the Company’s common stock and the conversion rate for the Notes on each such trading day; or (3) upon the occurrence of specified corporate events. On or after November 1, 2023, holders may convert all or any portion of their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59" w:lineRule="exact"/>
        <w:rPr>
          <w:sz w:val="20"/>
          <w:szCs w:val="20"/>
          <w:color w:val="auto"/>
        </w:rPr>
      </w:pPr>
    </w:p>
    <w:p>
      <w:pPr>
        <w:ind w:left="687"/>
        <w:spacing w:after="0"/>
        <w:rPr>
          <w:sz w:val="20"/>
          <w:szCs w:val="20"/>
          <w:color w:val="auto"/>
        </w:rPr>
      </w:pPr>
      <w:r>
        <w:rPr>
          <w:rFonts w:ascii="Arial" w:cs="Arial" w:eastAsia="Arial" w:hAnsi="Arial"/>
          <w:sz w:val="14"/>
          <w:szCs w:val="14"/>
          <w:color w:val="auto"/>
        </w:rPr>
        <w:t>It is the Company’s current intent to settle the principal amount of its outstanding Notes in cash and any excess in shares of the Company’s common stock.</w:t>
      </w:r>
    </w:p>
    <w:p>
      <w:pPr>
        <w:spacing w:after="0" w:line="119" w:lineRule="exact"/>
        <w:rPr>
          <w:sz w:val="20"/>
          <w:szCs w:val="20"/>
          <w:color w:val="auto"/>
        </w:rPr>
      </w:pPr>
    </w:p>
    <w:p>
      <w:pPr>
        <w:ind w:left="567"/>
        <w:spacing w:after="0"/>
        <w:rPr>
          <w:sz w:val="20"/>
          <w:szCs w:val="20"/>
          <w:color w:val="auto"/>
        </w:rPr>
      </w:pPr>
      <w:r>
        <w:rPr>
          <w:rFonts w:ascii="Arial" w:cs="Arial" w:eastAsia="Arial" w:hAnsi="Arial"/>
          <w:sz w:val="16"/>
          <w:szCs w:val="16"/>
          <w:color w:val="auto"/>
        </w:rPr>
        <w:t>During the six months ended June 30, 2020, the conditions allowing holders of the Notes to convert were not met.</w:t>
      </w:r>
    </w:p>
    <w:p>
      <w:pPr>
        <w:spacing w:after="0" w:line="96" w:lineRule="exact"/>
        <w:rPr>
          <w:sz w:val="20"/>
          <w:szCs w:val="20"/>
          <w:color w:val="auto"/>
        </w:rPr>
      </w:pPr>
    </w:p>
    <w:p>
      <w:pPr>
        <w:jc w:val="both"/>
        <w:ind w:left="7" w:firstLine="615"/>
        <w:spacing w:after="0" w:line="250" w:lineRule="auto"/>
        <w:rPr>
          <w:sz w:val="20"/>
          <w:szCs w:val="20"/>
          <w:color w:val="auto"/>
        </w:rPr>
      </w:pPr>
      <w:r>
        <w:rPr>
          <w:rFonts w:ascii="Arial" w:cs="Arial" w:eastAsia="Arial" w:hAnsi="Arial"/>
          <w:sz w:val="16"/>
          <w:szCs w:val="16"/>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74" w:lineRule="exact"/>
        <w:rPr>
          <w:sz w:val="20"/>
          <w:szCs w:val="20"/>
          <w:color w:val="auto"/>
        </w:rPr>
      </w:pPr>
    </w:p>
    <w:p>
      <w:pPr>
        <w:jc w:val="both"/>
        <w:ind w:left="7" w:right="20" w:firstLine="606"/>
        <w:spacing w:after="0" w:line="292" w:lineRule="auto"/>
        <w:rPr>
          <w:sz w:val="20"/>
          <w:szCs w:val="20"/>
          <w:color w:val="auto"/>
        </w:rPr>
      </w:pPr>
      <w:r>
        <w:rPr>
          <w:rFonts w:ascii="Arial" w:cs="Arial" w:eastAsia="Arial" w:hAnsi="Arial"/>
          <w:sz w:val="14"/>
          <w:szCs w:val="14"/>
          <w:color w:val="auto"/>
        </w:rPr>
        <w:t>In accounting for the issuance of the Notes, the Company separated the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Notes.</w:t>
      </w:r>
    </w:p>
    <w:p>
      <w:pPr>
        <w:spacing w:after="0" w:line="142" w:lineRule="exact"/>
        <w:rPr>
          <w:sz w:val="20"/>
          <w:szCs w:val="20"/>
          <w:color w:val="auto"/>
        </w:rPr>
      </w:pPr>
    </w:p>
    <w:p>
      <w:pPr>
        <w:jc w:val="both"/>
        <w:ind w:left="7" w:firstLine="561"/>
        <w:spacing w:after="0" w:line="297" w:lineRule="auto"/>
        <w:rPr>
          <w:sz w:val="20"/>
          <w:szCs w:val="20"/>
          <w:color w:val="auto"/>
        </w:rPr>
      </w:pPr>
      <w:r>
        <w:rPr>
          <w:rFonts w:ascii="Arial" w:cs="Arial" w:eastAsia="Arial" w:hAnsi="Arial"/>
          <w:sz w:val="14"/>
          <w:szCs w:val="14"/>
          <w:color w:val="auto"/>
        </w:rPr>
        <w:t>In accounting for the transaction costs related to the Notes, the Company allocated the total amount incurred of approximately $8.6 million to the liability and equity components of the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 terms of the Notes. Issuance costs attributable to the equity component were approximately $2.0 million and recorded as a reduction of additional paid in capital in stockholders’ equity.</w:t>
      </w:r>
    </w:p>
    <w:p>
      <w:pPr>
        <w:spacing w:after="0" w:line="13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7"/>
          </w:cols>
          <w:pgMar w:left="313" w:top="170" w:right="319" w:bottom="1440" w:gutter="0" w:footer="0" w:header="0"/>
        </w:sectPr>
      </w:pPr>
    </w:p>
    <w:bookmarkStart w:id="23" w:name="page24"/>
    <w:bookmarkEnd w:id="23"/>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9" w:lineRule="exact"/>
        <w:rPr>
          <w:sz w:val="20"/>
          <w:szCs w:val="20"/>
          <w:color w:val="auto"/>
        </w:rPr>
      </w:pPr>
    </w:p>
    <w:p>
      <w:pPr>
        <w:ind w:left="567"/>
        <w:spacing w:after="0"/>
        <w:rPr>
          <w:sz w:val="20"/>
          <w:szCs w:val="20"/>
          <w:color w:val="auto"/>
        </w:rPr>
      </w:pPr>
      <w:r>
        <w:rPr>
          <w:rFonts w:ascii="Arial" w:cs="Arial" w:eastAsia="Arial" w:hAnsi="Arial"/>
          <w:sz w:val="16"/>
          <w:szCs w:val="16"/>
          <w:color w:val="auto"/>
        </w:rPr>
        <w:t>The net carrying amount of the liability component of the Notes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4650740</wp:posOffset>
            </wp:positionH>
            <wp:positionV relativeFrom="paragraph">
              <wp:posOffset>83820</wp:posOffset>
            </wp:positionV>
            <wp:extent cx="24999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9995" cy="7620"/>
                    </a:xfrm>
                    <a:prstGeom prst="rect">
                      <a:avLst/>
                    </a:prstGeom>
                    <a:noFill/>
                  </pic:spPr>
                </pic:pic>
              </a:graphicData>
            </a:graphic>
          </wp:anchor>
        </w:drawing>
      </w:r>
    </w:p>
    <w:p>
      <w:pPr>
        <w:spacing w:after="0" w:line="174"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6080" w:type="dxa"/>
            <w:vAlign w:val="bottom"/>
            <w:tcBorders>
              <w:bottom w:val="single" w:sz="8" w:color="CCFFCC"/>
            </w:tcBorders>
          </w:tcPr>
          <w:p>
            <w:pPr>
              <w:spacing w:after="0"/>
              <w:rPr>
                <w:sz w:val="14"/>
                <w:szCs w:val="14"/>
                <w:color w:val="auto"/>
              </w:rPr>
            </w:pPr>
          </w:p>
        </w:tc>
        <w:tc>
          <w:tcPr>
            <w:tcW w:w="800" w:type="dxa"/>
            <w:vAlign w:val="bottom"/>
            <w:tcBorders>
              <w:bottom w:val="single" w:sz="8" w:color="CCFFCC"/>
            </w:tcBorders>
          </w:tcPr>
          <w:p>
            <w:pPr>
              <w:spacing w:after="0"/>
              <w:rPr>
                <w:sz w:val="14"/>
                <w:szCs w:val="14"/>
                <w:color w:val="auto"/>
              </w:rPr>
            </w:pPr>
          </w:p>
        </w:tc>
        <w:tc>
          <w:tcPr>
            <w:tcW w:w="440" w:type="dxa"/>
            <w:vAlign w:val="bottom"/>
            <w:tcBorders>
              <w:bottom w:val="single" w:sz="8" w:color="CCFFC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b w:val="1"/>
                <w:bCs w:val="1"/>
                <w:color w:val="auto"/>
              </w:rPr>
              <w:t>As of June 30, 2020</w:t>
            </w:r>
          </w:p>
        </w:tc>
        <w:tc>
          <w:tcPr>
            <w:tcW w:w="100" w:type="dxa"/>
            <w:vAlign w:val="bottom"/>
            <w:tcBorders>
              <w:bottom w:val="single" w:sz="8" w:color="CCFFCC"/>
            </w:tcBorders>
          </w:tcPr>
          <w:p>
            <w:pPr>
              <w:spacing w:after="0"/>
              <w:rPr>
                <w:sz w:val="14"/>
                <w:szCs w:val="14"/>
                <w:color w:val="auto"/>
              </w:rPr>
            </w:pPr>
          </w:p>
        </w:tc>
        <w:tc>
          <w:tcPr>
            <w:tcW w:w="20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2"/>
                <w:szCs w:val="12"/>
                <w:b w:val="1"/>
                <w:bCs w:val="1"/>
                <w:color w:val="auto"/>
              </w:rPr>
              <w:t>As of December 31, 2019</w:t>
            </w:r>
          </w:p>
        </w:tc>
        <w:tc>
          <w:tcPr>
            <w:tcW w:w="0" w:type="dxa"/>
            <w:vAlign w:val="bottom"/>
          </w:tcPr>
          <w:p>
            <w:pPr>
              <w:spacing w:after="0"/>
              <w:rPr>
                <w:sz w:val="1"/>
                <w:szCs w:val="1"/>
                <w:color w:val="auto"/>
              </w:rPr>
            </w:pPr>
          </w:p>
        </w:tc>
      </w:tr>
      <w:tr>
        <w:trPr>
          <w:trHeight w:val="199"/>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Principal</w:t>
            </w:r>
          </w:p>
        </w:tc>
        <w:tc>
          <w:tcPr>
            <w:tcW w:w="800" w:type="dxa"/>
            <w:vAlign w:val="bottom"/>
            <w:tcBorders>
              <w:bottom w:val="single" w:sz="8" w:color="CCFFCC"/>
            </w:tcBorders>
            <w:shd w:val="clear" w:color="auto" w:fill="CCFFCC"/>
          </w:tcPr>
          <w:p>
            <w:pPr>
              <w:spacing w:after="0"/>
              <w:rPr>
                <w:sz w:val="17"/>
                <w:szCs w:val="17"/>
                <w:color w:val="auto"/>
              </w:rPr>
            </w:pPr>
          </w:p>
        </w:tc>
        <w:tc>
          <w:tcPr>
            <w:tcW w:w="44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600" w:type="dxa"/>
            <w:vAlign w:val="bottom"/>
            <w:tcBorders>
              <w:bottom w:val="single" w:sz="8" w:color="CCFFCC"/>
            </w:tcBorders>
            <w:gridSpan w:val="3"/>
            <w:shd w:val="clear" w:color="auto" w:fill="CCFFCC"/>
          </w:tcPr>
          <w:p>
            <w:pPr>
              <w:jc w:val="right"/>
              <w:ind w:right="30"/>
              <w:spacing w:after="0"/>
              <w:rPr>
                <w:sz w:val="20"/>
                <w:szCs w:val="20"/>
                <w:color w:val="auto"/>
              </w:rPr>
            </w:pPr>
            <w:r>
              <w:rPr>
                <w:rFonts w:ascii="Arial" w:cs="Arial" w:eastAsia="Arial" w:hAnsi="Arial"/>
                <w:sz w:val="14"/>
                <w:szCs w:val="14"/>
                <w:color w:val="auto"/>
                <w:w w:val="94"/>
              </w:rPr>
              <w:t>230,000</w:t>
            </w:r>
          </w:p>
        </w:tc>
        <w:tc>
          <w:tcPr>
            <w:tcW w:w="20" w:type="dxa"/>
            <w:vAlign w:val="bottom"/>
            <w:tcBorders>
              <w:bottom w:val="single" w:sz="8" w:color="CCFFCC"/>
            </w:tcBorders>
            <w:shd w:val="clear" w:color="auto" w:fill="CCFFCC"/>
          </w:tcPr>
          <w:p>
            <w:pPr>
              <w:spacing w:after="0"/>
              <w:rPr>
                <w:sz w:val="17"/>
                <w:szCs w:val="17"/>
                <w:color w:val="auto"/>
              </w:rPr>
            </w:pPr>
          </w:p>
        </w:tc>
        <w:tc>
          <w:tcPr>
            <w:tcW w:w="800" w:type="dxa"/>
            <w:vAlign w:val="bottom"/>
            <w:tcBorders>
              <w:bottom w:val="single" w:sz="8" w:color="CCFFCC"/>
            </w:tcBorders>
            <w:gridSpan w:val="2"/>
            <w:shd w:val="clear" w:color="auto" w:fill="CCFFCC"/>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9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230,000</w:t>
            </w:r>
          </w:p>
        </w:tc>
        <w:tc>
          <w:tcPr>
            <w:tcW w:w="0" w:type="dxa"/>
            <w:vAlign w:val="bottom"/>
          </w:tcPr>
          <w:p>
            <w:pPr>
              <w:spacing w:after="0"/>
              <w:rPr>
                <w:sz w:val="1"/>
                <w:szCs w:val="1"/>
                <w:color w:val="auto"/>
              </w:rPr>
            </w:pPr>
          </w:p>
        </w:tc>
      </w:tr>
      <w:tr>
        <w:trPr>
          <w:trHeight w:val="206"/>
        </w:trPr>
        <w:tc>
          <w:tcPr>
            <w:tcW w:w="6080" w:type="dxa"/>
            <w:vAlign w:val="bottom"/>
          </w:tcPr>
          <w:p>
            <w:pPr>
              <w:ind w:left="20"/>
              <w:spacing w:after="0"/>
              <w:rPr>
                <w:sz w:val="20"/>
                <w:szCs w:val="20"/>
                <w:color w:val="auto"/>
              </w:rPr>
            </w:pPr>
            <w:r>
              <w:rPr>
                <w:rFonts w:ascii="Arial" w:cs="Arial" w:eastAsia="Arial" w:hAnsi="Arial"/>
                <w:sz w:val="14"/>
                <w:szCs w:val="14"/>
                <w:color w:val="auto"/>
              </w:rPr>
              <w:t>Unamortized discount</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9"/>
              </w:rPr>
              <w:t>(40,518)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(45,295)</w:t>
            </w:r>
          </w:p>
        </w:tc>
        <w:tc>
          <w:tcPr>
            <w:tcW w:w="0" w:type="dxa"/>
            <w:vAlign w:val="bottom"/>
          </w:tcPr>
          <w:p>
            <w:pPr>
              <w:spacing w:after="0"/>
              <w:rPr>
                <w:sz w:val="1"/>
                <w:szCs w:val="1"/>
                <w:color w:val="auto"/>
              </w:rPr>
            </w:pPr>
          </w:p>
        </w:tc>
      </w:tr>
      <w:tr>
        <w:trPr>
          <w:trHeight w:val="28"/>
        </w:trPr>
        <w:tc>
          <w:tcPr>
            <w:tcW w:w="6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Unamortized issuance costs</w:t>
            </w:r>
          </w:p>
        </w:tc>
        <w:tc>
          <w:tcPr>
            <w:tcW w:w="80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spacing w:after="0"/>
              <w:rPr>
                <w:sz w:val="20"/>
                <w:szCs w:val="20"/>
                <w:color w:val="auto"/>
              </w:rPr>
            </w:pPr>
          </w:p>
        </w:tc>
        <w:tc>
          <w:tcPr>
            <w:tcW w:w="600" w:type="dxa"/>
            <w:vAlign w:val="bottom"/>
            <w:tcBorders>
              <w:bottom w:val="single" w:sz="8" w:color="CCFFCC"/>
            </w:tcBorders>
            <w:gridSpan w:val="3"/>
            <w:shd w:val="clear" w:color="auto" w:fill="CCFFCC"/>
          </w:tcPr>
          <w:p>
            <w:pPr>
              <w:jc w:val="right"/>
              <w:spacing w:after="0"/>
              <w:rPr>
                <w:sz w:val="20"/>
                <w:szCs w:val="20"/>
                <w:color w:val="auto"/>
              </w:rPr>
            </w:pPr>
            <w:r>
              <w:rPr>
                <w:rFonts w:ascii="Arial" w:cs="Arial" w:eastAsia="Arial" w:hAnsi="Arial"/>
                <w:sz w:val="14"/>
                <w:szCs w:val="14"/>
                <w:color w:val="auto"/>
              </w:rPr>
              <w:t>(5,093)</w:t>
            </w:r>
          </w:p>
        </w:tc>
        <w:tc>
          <w:tcPr>
            <w:tcW w:w="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(5,693)</w:t>
            </w:r>
          </w:p>
        </w:tc>
        <w:tc>
          <w:tcPr>
            <w:tcW w:w="0" w:type="dxa"/>
            <w:vAlign w:val="bottom"/>
          </w:tcPr>
          <w:p>
            <w:pPr>
              <w:spacing w:after="0"/>
              <w:rPr>
                <w:sz w:val="1"/>
                <w:szCs w:val="1"/>
                <w:color w:val="auto"/>
              </w:rPr>
            </w:pPr>
          </w:p>
        </w:tc>
      </w:tr>
      <w:tr>
        <w:trPr>
          <w:trHeight w:val="205"/>
        </w:trPr>
        <w:tc>
          <w:tcPr>
            <w:tcW w:w="6080" w:type="dxa"/>
            <w:vAlign w:val="bottom"/>
          </w:tcPr>
          <w:p>
            <w:pPr>
              <w:ind w:left="220"/>
              <w:spacing w:after="0"/>
              <w:rPr>
                <w:sz w:val="20"/>
                <w:szCs w:val="20"/>
                <w:color w:val="auto"/>
              </w:rPr>
            </w:pPr>
            <w:r>
              <w:rPr>
                <w:rFonts w:ascii="Arial" w:cs="Arial" w:eastAsia="Arial" w:hAnsi="Arial"/>
                <w:sz w:val="14"/>
                <w:szCs w:val="14"/>
                <w:color w:val="auto"/>
              </w:rPr>
              <w:t>Net carrying amount</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4"/>
                <w:szCs w:val="14"/>
                <w:color w:val="auto"/>
                <w:w w:val="94"/>
              </w:rPr>
              <w:t>184,389</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179,012</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420"/>
              <w:spacing w:after="0"/>
              <w:rPr>
                <w:sz w:val="20"/>
                <w:szCs w:val="20"/>
                <w:color w:val="auto"/>
              </w:rPr>
            </w:pPr>
            <w:r>
              <w:rPr>
                <w:rFonts w:ascii="Arial" w:cs="Arial" w:eastAsia="Arial" w:hAnsi="Arial"/>
                <w:sz w:val="16"/>
                <w:szCs w:val="16"/>
                <w:color w:val="auto"/>
                <w:w w:val="97"/>
              </w:rPr>
              <w:t>The net carrying amount of the equity component of the Notes was as follows (in thousands):</w:t>
            </w: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880" w:type="dxa"/>
            <w:vAlign w:val="bottom"/>
            <w:gridSpan w:val="2"/>
            <w:vMerge w:val="continue"/>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6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80" w:type="dxa"/>
            <w:vAlign w:val="bottom"/>
            <w:tcBorders>
              <w:bottom w:val="single" w:sz="8" w:color="CCFFCC"/>
            </w:tcBorders>
          </w:tcPr>
          <w:p>
            <w:pPr>
              <w:spacing w:after="0"/>
              <w:rPr>
                <w:sz w:val="18"/>
                <w:szCs w:val="18"/>
                <w:color w:val="auto"/>
              </w:rPr>
            </w:pPr>
          </w:p>
        </w:tc>
        <w:tc>
          <w:tcPr>
            <w:tcW w:w="800" w:type="dxa"/>
            <w:vAlign w:val="bottom"/>
            <w:tcBorders>
              <w:bottom w:val="single" w:sz="8" w:color="CCFFCC"/>
            </w:tcBorders>
          </w:tcPr>
          <w:p>
            <w:pPr>
              <w:spacing w:after="0"/>
              <w:rPr>
                <w:sz w:val="18"/>
                <w:szCs w:val="18"/>
                <w:color w:val="auto"/>
              </w:rPr>
            </w:pPr>
          </w:p>
        </w:tc>
        <w:tc>
          <w:tcPr>
            <w:tcW w:w="44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88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420" w:type="dxa"/>
            <w:vAlign w:val="bottom"/>
            <w:tcBorders>
              <w:bottom w:val="single" w:sz="8" w:color="CCFFC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2"/>
                <w:szCs w:val="12"/>
                <w:b w:val="1"/>
                <w:bCs w:val="1"/>
                <w:color w:val="auto"/>
              </w:rPr>
              <w:t>As of June 30, 2020</w:t>
            </w:r>
          </w:p>
        </w:tc>
        <w:tc>
          <w:tcPr>
            <w:tcW w:w="0" w:type="dxa"/>
            <w:vAlign w:val="bottom"/>
          </w:tcPr>
          <w:p>
            <w:pPr>
              <w:spacing w:after="0"/>
              <w:rPr>
                <w:sz w:val="1"/>
                <w:szCs w:val="1"/>
                <w:color w:val="auto"/>
              </w:rPr>
            </w:pPr>
          </w:p>
        </w:tc>
      </w:tr>
      <w:tr>
        <w:trPr>
          <w:trHeight w:val="199"/>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Proceeds allocated to the conversion options (debt discount)</w:t>
            </w:r>
          </w:p>
        </w:tc>
        <w:tc>
          <w:tcPr>
            <w:tcW w:w="800" w:type="dxa"/>
            <w:vAlign w:val="bottom"/>
            <w:tcBorders>
              <w:bottom w:val="single" w:sz="8" w:color="CCFFCC"/>
            </w:tcBorders>
            <w:shd w:val="clear" w:color="auto" w:fill="CCFFCC"/>
          </w:tcPr>
          <w:p>
            <w:pPr>
              <w:spacing w:after="0"/>
              <w:rPr>
                <w:sz w:val="17"/>
                <w:szCs w:val="17"/>
                <w:color w:val="auto"/>
              </w:rPr>
            </w:pPr>
          </w:p>
        </w:tc>
        <w:tc>
          <w:tcPr>
            <w:tcW w:w="44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42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9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52,900</w:t>
            </w:r>
          </w:p>
        </w:tc>
        <w:tc>
          <w:tcPr>
            <w:tcW w:w="0" w:type="dxa"/>
            <w:vAlign w:val="bottom"/>
          </w:tcPr>
          <w:p>
            <w:pPr>
              <w:spacing w:after="0"/>
              <w:rPr>
                <w:sz w:val="1"/>
                <w:szCs w:val="1"/>
                <w:color w:val="auto"/>
              </w:rPr>
            </w:pPr>
          </w:p>
        </w:tc>
      </w:tr>
      <w:tr>
        <w:trPr>
          <w:trHeight w:val="194"/>
        </w:trPr>
        <w:tc>
          <w:tcPr>
            <w:tcW w:w="608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28"/>
        </w:trPr>
        <w:tc>
          <w:tcPr>
            <w:tcW w:w="608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880" w:type="dxa"/>
            <w:vAlign w:val="bottom"/>
            <w:tcBorders>
              <w:bottom w:val="single" w:sz="8" w:color="CCFFCC"/>
            </w:tcBorders>
          </w:tcPr>
          <w:p>
            <w:pPr>
              <w:spacing w:after="0"/>
              <w:rPr>
                <w:sz w:val="2"/>
                <w:szCs w:val="2"/>
                <w:color w:val="auto"/>
              </w:rPr>
            </w:pPr>
          </w:p>
        </w:tc>
        <w:tc>
          <w:tcPr>
            <w:tcW w:w="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2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0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Net carrying amount</w:t>
            </w:r>
          </w:p>
        </w:tc>
        <w:tc>
          <w:tcPr>
            <w:tcW w:w="800" w:type="dxa"/>
            <w:vAlign w:val="bottom"/>
            <w:tcBorders>
              <w:bottom w:val="single" w:sz="8" w:color="CCFFCC"/>
            </w:tcBorders>
            <w:shd w:val="clear" w:color="auto" w:fill="CCFFCC"/>
          </w:tcPr>
          <w:p>
            <w:pPr>
              <w:spacing w:after="0"/>
              <w:rPr>
                <w:sz w:val="17"/>
                <w:szCs w:val="17"/>
                <w:color w:val="auto"/>
              </w:rPr>
            </w:pPr>
          </w:p>
        </w:tc>
        <w:tc>
          <w:tcPr>
            <w:tcW w:w="44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42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spacing w:after="0"/>
              <w:rPr>
                <w:sz w:val="17"/>
                <w:szCs w:val="17"/>
                <w:color w:val="auto"/>
              </w:rPr>
            </w:pPr>
          </w:p>
        </w:tc>
        <w:tc>
          <w:tcPr>
            <w:tcW w:w="9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50,914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420"/>
              <w:spacing w:after="0"/>
              <w:rPr>
                <w:sz w:val="20"/>
                <w:szCs w:val="20"/>
                <w:color w:val="auto"/>
              </w:rPr>
            </w:pPr>
            <w:r>
              <w:rPr>
                <w:rFonts w:ascii="Arial" w:cs="Arial" w:eastAsia="Arial" w:hAnsi="Arial"/>
                <w:sz w:val="16"/>
                <w:szCs w:val="16"/>
                <w:color w:val="auto"/>
                <w:w w:val="93"/>
              </w:rPr>
              <w:t>The following table sets forth the interest expense recognized related to the Notes (in thousands):</w:t>
            </w: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880" w:type="dxa"/>
            <w:vAlign w:val="bottom"/>
            <w:gridSpan w:val="2"/>
            <w:vMerge w:val="continue"/>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6080" w:type="dxa"/>
            <w:vAlign w:val="bottom"/>
            <w:tcBorders>
              <w:bottom w:val="single" w:sz="8" w:color="CCFFCC"/>
            </w:tcBorders>
          </w:tcPr>
          <w:p>
            <w:pPr>
              <w:spacing w:after="0"/>
              <w:rPr>
                <w:sz w:val="24"/>
                <w:szCs w:val="24"/>
                <w:color w:val="auto"/>
              </w:rPr>
            </w:pPr>
          </w:p>
        </w:tc>
        <w:tc>
          <w:tcPr>
            <w:tcW w:w="2440" w:type="dxa"/>
            <w:vAlign w:val="bottom"/>
            <w:tcBorders>
              <w:bottom w:val="single" w:sz="8" w:color="auto"/>
            </w:tcBorders>
            <w:gridSpan w:val="6"/>
          </w:tcPr>
          <w:p>
            <w:pPr>
              <w:jc w:val="right"/>
              <w:ind w:right="251"/>
              <w:spacing w:after="0"/>
              <w:rPr>
                <w:sz w:val="20"/>
                <w:szCs w:val="20"/>
                <w:color w:val="auto"/>
              </w:rPr>
            </w:pPr>
            <w:r>
              <w:rPr>
                <w:rFonts w:ascii="Arial" w:cs="Arial" w:eastAsia="Arial" w:hAnsi="Arial"/>
                <w:sz w:val="12"/>
                <w:szCs w:val="12"/>
                <w:b w:val="1"/>
                <w:bCs w:val="1"/>
                <w:color w:val="auto"/>
              </w:rPr>
              <w:t>Three Months Ended June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231"/>
        </w:trPr>
        <w:tc>
          <w:tcPr>
            <w:tcW w:w="608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42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gridSpan w:val="2"/>
            <w:shd w:val="clear" w:color="auto" w:fill="CCFFCC"/>
          </w:tcPr>
          <w:p>
            <w:pPr>
              <w:jc w:val="right"/>
              <w:ind w:right="41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6"/>
        </w:trPr>
        <w:tc>
          <w:tcPr>
            <w:tcW w:w="6080" w:type="dxa"/>
            <w:vAlign w:val="bottom"/>
          </w:tcPr>
          <w:p>
            <w:pPr>
              <w:ind w:left="20"/>
              <w:spacing w:after="0"/>
              <w:rPr>
                <w:sz w:val="20"/>
                <w:szCs w:val="20"/>
                <w:color w:val="auto"/>
              </w:rPr>
            </w:pPr>
            <w:r>
              <w:rPr>
                <w:rFonts w:ascii="Arial" w:cs="Arial" w:eastAsia="Arial" w:hAnsi="Arial"/>
                <w:sz w:val="14"/>
                <w:szCs w:val="14"/>
                <w:color w:val="auto"/>
              </w:rPr>
              <w:t>Contractual interest expense</w:t>
            </w:r>
          </w:p>
        </w:tc>
        <w:tc>
          <w:tcPr>
            <w:tcW w:w="800" w:type="dxa"/>
            <w:vAlign w:val="bottom"/>
            <w:tcBorders>
              <w:top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431</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28"/>
        </w:trPr>
        <w:tc>
          <w:tcPr>
            <w:tcW w:w="6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Amortization of issuance costs</w:t>
            </w:r>
          </w:p>
        </w:tc>
        <w:tc>
          <w:tcPr>
            <w:tcW w:w="80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303</w:t>
            </w: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260</w:t>
            </w: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CCFFCC"/>
            </w:tcBorders>
            <w:gridSpan w:val="2"/>
            <w:shd w:val="clear" w:color="auto" w:fill="CCFFCC"/>
          </w:tcPr>
          <w:p>
            <w:pPr>
              <w:jc w:val="right"/>
              <w:ind w:right="56"/>
              <w:spacing w:after="0"/>
              <w:rPr>
                <w:sz w:val="20"/>
                <w:szCs w:val="20"/>
                <w:color w:val="auto"/>
              </w:rPr>
            </w:pPr>
            <w:r>
              <w:rPr>
                <w:rFonts w:ascii="Arial" w:cs="Arial" w:eastAsia="Arial" w:hAnsi="Arial"/>
                <w:sz w:val="14"/>
                <w:szCs w:val="14"/>
                <w:color w:val="auto"/>
              </w:rPr>
              <w:t>600</w:t>
            </w:r>
          </w:p>
        </w:tc>
        <w:tc>
          <w:tcPr>
            <w:tcW w:w="10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06"/>
        </w:trPr>
        <w:tc>
          <w:tcPr>
            <w:tcW w:w="6080" w:type="dxa"/>
            <w:vAlign w:val="bottom"/>
          </w:tcPr>
          <w:p>
            <w:pPr>
              <w:ind w:left="20"/>
              <w:spacing w:after="0"/>
              <w:rPr>
                <w:sz w:val="20"/>
                <w:szCs w:val="20"/>
                <w:color w:val="auto"/>
              </w:rPr>
            </w:pPr>
            <w:r>
              <w:rPr>
                <w:rFonts w:ascii="Arial" w:cs="Arial" w:eastAsia="Arial" w:hAnsi="Arial"/>
                <w:sz w:val="14"/>
                <w:szCs w:val="14"/>
                <w:color w:val="auto"/>
              </w:rPr>
              <w:t>Amortization of debt discount</w:t>
            </w:r>
          </w:p>
        </w:tc>
        <w:tc>
          <w:tcPr>
            <w:tcW w:w="800" w:type="dxa"/>
            <w:vAlign w:val="bottom"/>
          </w:tcPr>
          <w:p>
            <w:pPr>
              <w:spacing w:after="0"/>
              <w:rPr>
                <w:sz w:val="17"/>
                <w:szCs w:val="17"/>
                <w:color w:val="auto"/>
              </w:rPr>
            </w:pPr>
          </w:p>
        </w:tc>
        <w:tc>
          <w:tcPr>
            <w:tcW w:w="440" w:type="dxa"/>
            <w:vAlign w:val="bottom"/>
          </w:tcPr>
          <w:p>
            <w:pPr>
              <w:jc w:val="right"/>
              <w:ind w:right="30"/>
              <w:spacing w:after="0"/>
              <w:rPr>
                <w:sz w:val="20"/>
                <w:szCs w:val="20"/>
                <w:color w:val="auto"/>
              </w:rPr>
            </w:pPr>
            <w:r>
              <w:rPr>
                <w:rFonts w:ascii="Arial" w:cs="Arial" w:eastAsia="Arial" w:hAnsi="Arial"/>
                <w:sz w:val="14"/>
                <w:szCs w:val="14"/>
                <w:color w:val="auto"/>
                <w:w w:val="91"/>
              </w:rPr>
              <w:t>2,409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56"/>
              <w:spacing w:after="0"/>
              <w:rPr>
                <w:sz w:val="20"/>
                <w:szCs w:val="20"/>
                <w:color w:val="auto"/>
              </w:rPr>
            </w:pPr>
            <w:r>
              <w:rPr>
                <w:rFonts w:ascii="Arial" w:cs="Arial" w:eastAsia="Arial" w:hAnsi="Arial"/>
                <w:sz w:val="14"/>
                <w:szCs w:val="14"/>
                <w:color w:val="auto"/>
              </w:rPr>
              <w:t>4,776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28"/>
        </w:trPr>
        <w:tc>
          <w:tcPr>
            <w:tcW w:w="6080" w:type="dxa"/>
            <w:vAlign w:val="bottom"/>
            <w:tcBorders>
              <w:bottom w:val="single" w:sz="8" w:color="CCFFC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FFCC"/>
          </w:tcPr>
          <w:p>
            <w:pPr>
              <w:ind w:left="20"/>
              <w:spacing w:after="0"/>
              <w:rPr>
                <w:sz w:val="20"/>
                <w:szCs w:val="20"/>
                <w:color w:val="auto"/>
              </w:rPr>
            </w:pPr>
            <w:r>
              <w:rPr>
                <w:rFonts w:ascii="Arial" w:cs="Arial" w:eastAsia="Arial" w:hAnsi="Arial"/>
                <w:sz w:val="14"/>
                <w:szCs w:val="14"/>
                <w:color w:val="auto"/>
              </w:rPr>
              <w:t>Total interest expense</w:t>
            </w:r>
          </w:p>
        </w:tc>
        <w:tc>
          <w:tcPr>
            <w:tcW w:w="800" w:type="dxa"/>
            <w:vAlign w:val="bottom"/>
            <w:shd w:val="clear" w:color="auto" w:fill="CCFFCC"/>
          </w:tcPr>
          <w:p>
            <w:pPr>
              <w:jc w:val="right"/>
              <w:ind w:right="632"/>
              <w:spacing w:after="0"/>
              <w:rPr>
                <w:sz w:val="20"/>
                <w:szCs w:val="20"/>
                <w:color w:val="auto"/>
              </w:rPr>
            </w:pPr>
            <w:r>
              <w:rPr>
                <w:rFonts w:ascii="Arial" w:cs="Arial" w:eastAsia="Arial" w:hAnsi="Arial"/>
                <w:sz w:val="14"/>
                <w:szCs w:val="14"/>
                <w:color w:val="auto"/>
              </w:rPr>
              <w:t>$</w:t>
            </w:r>
          </w:p>
        </w:tc>
        <w:tc>
          <w:tcPr>
            <w:tcW w:w="440" w:type="dxa"/>
            <w:vAlign w:val="bottom"/>
            <w:shd w:val="clear" w:color="auto" w:fill="CCFFCC"/>
          </w:tcPr>
          <w:p>
            <w:pPr>
              <w:jc w:val="right"/>
              <w:ind w:right="30"/>
              <w:spacing w:after="0"/>
              <w:rPr>
                <w:sz w:val="20"/>
                <w:szCs w:val="20"/>
                <w:color w:val="auto"/>
              </w:rPr>
            </w:pPr>
            <w:r>
              <w:rPr>
                <w:rFonts w:ascii="Arial" w:cs="Arial" w:eastAsia="Arial" w:hAnsi="Arial"/>
                <w:sz w:val="14"/>
                <w:szCs w:val="14"/>
                <w:color w:val="auto"/>
                <w:w w:val="91"/>
              </w:rPr>
              <w:t>3,143</w:t>
            </w:r>
          </w:p>
        </w:tc>
        <w:tc>
          <w:tcPr>
            <w:tcW w:w="320" w:type="dxa"/>
            <w:vAlign w:val="bottom"/>
            <w:gridSpan w:val="3"/>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2,954</w:t>
            </w:r>
          </w:p>
        </w:tc>
        <w:tc>
          <w:tcPr>
            <w:tcW w:w="600" w:type="dxa"/>
            <w:vAlign w:val="bottom"/>
            <w:gridSpan w:val="3"/>
            <w:shd w:val="clear" w:color="auto" w:fill="CCFFCC"/>
          </w:tcPr>
          <w:p>
            <w:pPr>
              <w:jc w:val="right"/>
              <w:ind w:right="250"/>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56"/>
              <w:spacing w:after="0"/>
              <w:rPr>
                <w:sz w:val="20"/>
                <w:szCs w:val="20"/>
                <w:color w:val="auto"/>
              </w:rPr>
            </w:pPr>
            <w:r>
              <w:rPr>
                <w:rFonts w:ascii="Arial" w:cs="Arial" w:eastAsia="Arial" w:hAnsi="Arial"/>
                <w:sz w:val="14"/>
                <w:szCs w:val="14"/>
                <w:color w:val="auto"/>
              </w:rPr>
              <w:t>6,239</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50"/>
              <w:spacing w:after="0"/>
              <w:rPr>
                <w:sz w:val="20"/>
                <w:szCs w:val="20"/>
                <w:color w:val="auto"/>
              </w:rPr>
            </w:pPr>
            <w:r>
              <w:rPr>
                <w:rFonts w:ascii="Arial" w:cs="Arial" w:eastAsia="Arial" w:hAnsi="Arial"/>
                <w:sz w:val="14"/>
                <w:szCs w:val="14"/>
                <w:color w:val="auto"/>
              </w:rPr>
              <w:t>3,941</w:t>
            </w:r>
          </w:p>
        </w:tc>
        <w:tc>
          <w:tcPr>
            <w:tcW w:w="0" w:type="dxa"/>
            <w:vAlign w:val="bottom"/>
          </w:tcPr>
          <w:p>
            <w:pPr>
              <w:spacing w:after="0"/>
              <w:rPr>
                <w:sz w:val="1"/>
                <w:szCs w:val="1"/>
                <w:color w:val="auto"/>
              </w:rPr>
            </w:pPr>
          </w:p>
        </w:tc>
      </w:tr>
      <w:tr>
        <w:trPr>
          <w:trHeight w:val="20"/>
        </w:trPr>
        <w:tc>
          <w:tcPr>
            <w:tcW w:w="608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both"/>
        <w:ind w:left="7" w:firstLine="561"/>
        <w:spacing w:after="0" w:line="306" w:lineRule="auto"/>
        <w:rPr>
          <w:sz w:val="20"/>
          <w:szCs w:val="20"/>
          <w:color w:val="auto"/>
        </w:rPr>
      </w:pPr>
      <w:r>
        <w:rPr>
          <w:rFonts w:ascii="Arial" w:cs="Arial" w:eastAsia="Arial" w:hAnsi="Arial"/>
          <w:sz w:val="14"/>
          <w:szCs w:val="14"/>
          <w:color w:val="auto"/>
        </w:rPr>
        <w:t>The remaining term over which the debt discount and debt issuance costs will be amortized is 3.7 years and 4.7 years as of June 30, 2020 and 2019, respectively. The effective interest rate on the debt was 5.27% and 6.89% for the periods June 30, 2020 and 2019, respectively. Interest expense is reflected as a component of interest (expense) income, net in the accompanying condensed consolidated statements of operations for the three and six months ended June 30, 2020 and 2019.</w:t>
      </w:r>
    </w:p>
    <w:p>
      <w:pPr>
        <w:spacing w:after="0" w:line="38" w:lineRule="exact"/>
        <w:rPr>
          <w:sz w:val="20"/>
          <w:szCs w:val="20"/>
          <w:color w:val="auto"/>
        </w:rPr>
      </w:pPr>
    </w:p>
    <w:p>
      <w:pPr>
        <w:jc w:val="both"/>
        <w:ind w:left="7" w:firstLine="561"/>
        <w:spacing w:after="0" w:line="284" w:lineRule="auto"/>
        <w:rPr>
          <w:sz w:val="20"/>
          <w:szCs w:val="20"/>
          <w:color w:val="auto"/>
        </w:rPr>
      </w:pPr>
      <w:r>
        <w:rPr>
          <w:rFonts w:ascii="Arial" w:cs="Arial" w:eastAsia="Arial" w:hAnsi="Arial"/>
          <w:sz w:val="14"/>
          <w:szCs w:val="14"/>
          <w:color w:val="auto"/>
        </w:rPr>
        <w:t>In connection with the offering of the Notes, the Company entered into privately-negotiated capped call option transactions with certain counterparties (the “capped calls”). The capped calls each have an initial strike price of approximately $38.58 per share, subject to certain adjustments, which corresponds to the initial conversion price of the Notes. The capped calls have initial cap prices of $57.16 per share, subject to certain adjustment events. The capped calls cover, subject to anti-dilution adjustments, approximately 5.96 million shares of common stock. The capped calls are generally intended to reduce or offset the potential dilution to the common stock upon any conversion of the Notes with such reduction or offset, as the case may be, subject to a cap based on the cap price. The capped calls expire on March 1, 2024,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failure to deliver, and hedging disruptions. The capped calls are recorded in stockholders’ equity and are not accounted for as derivatives. The net cost of $23.2 million incurred to purchase the capped calls was recorded as a reduction to additional paid-in capital in the accompanying December 31, 2019 condensed consolidated balance sheet.</w:t>
      </w:r>
    </w:p>
    <w:p>
      <w:pPr>
        <w:spacing w:after="0" w:line="240" w:lineRule="exact"/>
        <w:rPr>
          <w:sz w:val="20"/>
          <w:szCs w:val="20"/>
          <w:color w:val="auto"/>
        </w:rPr>
      </w:pPr>
    </w:p>
    <w:p>
      <w:pPr>
        <w:ind w:left="287" w:hanging="287"/>
        <w:spacing w:after="0"/>
        <w:tabs>
          <w:tab w:leader="none" w:pos="287"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AdvantageTec Inc.</w:t>
      </w:r>
    </w:p>
    <w:p>
      <w:pPr>
        <w:spacing w:after="0" w:line="96" w:lineRule="exact"/>
        <w:rPr>
          <w:sz w:val="20"/>
          <w:szCs w:val="20"/>
          <w:color w:val="auto"/>
        </w:rPr>
      </w:pPr>
    </w:p>
    <w:p>
      <w:pPr>
        <w:jc w:val="both"/>
        <w:ind w:left="7" w:firstLine="561"/>
        <w:spacing w:after="0" w:line="289" w:lineRule="auto"/>
        <w:rPr>
          <w:sz w:val="20"/>
          <w:szCs w:val="20"/>
          <w:color w:val="auto"/>
        </w:rPr>
      </w:pPr>
      <w:r>
        <w:rPr>
          <w:rFonts w:ascii="Arial" w:cs="Arial" w:eastAsia="Arial" w:hAnsi="Arial"/>
          <w:sz w:val="14"/>
          <w:szCs w:val="14"/>
          <w:color w:val="auto"/>
        </w:rPr>
        <w:t>In October 2018, the Company entered into a stock purchase agreement to acquire the outstanding equity interest of AdvantageTec Inc. (“AdvantageTec”), a leading provider of texting solutions for service departments of automotive dealerships that helps enable Conversational Commerce across the entire dealership, including both front end/variable operations (new and used vehicle sales) and back end/fixed operations (parts and services). The purchase agreement was for total consideration of approximately $11.2 million, which included approximately $6.0 million in cash, approximately $4.3 million in shares of common stock, and approximately $0.9 million of potential earn-out consideration in cash and shares of common stock. The earn-out was contingent upon achieving certain targeted financial, strategic and integration objectives and milestones and is included as part of the purchase price. During 2019, the Company recorded a $0.2 million fair value re-measurement adjustment and made payments</w:t>
      </w:r>
    </w:p>
    <w:p>
      <w:pPr>
        <w:spacing w:after="0" w:line="23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67"/>
          </w:cols>
          <w:pgMar w:left="313" w:top="170"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of $0.5 million in earn-out consideration. During the six months ended June 30, 2020, the Company recorded a $0.3 million fair value re-measurement adjustment, which was recorded in loss from operations as a decrease in general and administrative expenses. The Company settled the remaining contingent earn-out of approximately $0.3 million in stock. As of June 30, 2020, there are no additional contingent earn-out payments.</w:t>
      </w:r>
    </w:p>
    <w:p>
      <w:pPr>
        <w:spacing w:after="0" w:line="72" w:lineRule="exact"/>
        <w:rPr>
          <w:sz w:val="20"/>
          <w:szCs w:val="20"/>
          <w:color w:val="auto"/>
        </w:rPr>
      </w:pPr>
    </w:p>
    <w:p>
      <w:pPr>
        <w:jc w:val="both"/>
        <w:ind w:right="20" w:firstLine="561"/>
        <w:spacing w:after="0" w:line="334" w:lineRule="auto"/>
        <w:rPr>
          <w:sz w:val="20"/>
          <w:szCs w:val="20"/>
          <w:color w:val="auto"/>
        </w:rPr>
      </w:pPr>
      <w:r>
        <w:rPr>
          <w:rFonts w:ascii="Arial" w:cs="Arial" w:eastAsia="Arial" w:hAnsi="Arial"/>
          <w:sz w:val="14"/>
          <w:szCs w:val="14"/>
          <w:color w:val="auto"/>
        </w:rPr>
        <w:t>The purchase price allocation resulted in approximately $9.1 million of goodwill and approximately $2.2 million of intangible assets. The goodwill will not be deductible for tax purposes. The intangible assets are being amortized over their expected period of benefit. A deferred tax liability for the identified intangibles has been recorded.</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AdvantageTec Inc. enhances the Company’s messaging platform available for the automotive industry and is included in the Company's business segment.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Conversable, Inc.</w:t>
      </w:r>
    </w:p>
    <w:p>
      <w:pPr>
        <w:spacing w:after="0" w:line="96"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In September 2018, the Company acquired the employees and technology assets of Conversable, Inc. a SaaS based Artificial Intelligence powered conversational platform, headquartered in Austin, Texas, for an aggregate estimated purchase price of $5.7 million. The estimated purchase price consisted of $1.3 million in cash, approximately $2.9 million in shares of common stock of the Company, and a potential earn-out consideration of $1.5 million in cash, which was based on achieving certain targeted financial, strategic, and integration objectives and milestones and was included as part of the purchase price. During 2019, the Company recorded a $0.5 million fair value re-measurement adjustment and settled the remaining contingent earn-out in stock.</w:t>
      </w:r>
    </w:p>
    <w:p>
      <w:pPr>
        <w:spacing w:after="0" w:line="77" w:lineRule="exact"/>
        <w:rPr>
          <w:sz w:val="20"/>
          <w:szCs w:val="20"/>
          <w:color w:val="auto"/>
        </w:rPr>
      </w:pPr>
    </w:p>
    <w:p>
      <w:pPr>
        <w:jc w:val="both"/>
        <w:ind w:right="20" w:firstLine="561"/>
        <w:spacing w:after="0" w:line="306" w:lineRule="auto"/>
        <w:rPr>
          <w:sz w:val="20"/>
          <w:szCs w:val="20"/>
          <w:color w:val="auto"/>
        </w:rPr>
      </w:pPr>
      <w:r>
        <w:rPr>
          <w:rFonts w:ascii="Arial" w:cs="Arial" w:eastAsia="Arial" w:hAnsi="Arial"/>
          <w:sz w:val="14"/>
          <w:szCs w:val="14"/>
          <w:color w:val="auto"/>
        </w:rPr>
        <w:t>The purchase price allocation resulted in approximately $5.5 million of goodwill and approximately $0.5 million of intangible assets. The goodwill will be deductible for tax purposes. The intangible assets are being amortized over their expected period of benefit. The allocation of the purchase price to net book value of acquired assets and liabilities resulted in a net liability of $0.3 million, which includes accounts receivable, property and equipment, accrued expenses, and deferred revenue.</w:t>
      </w:r>
    </w:p>
    <w:p>
      <w:pPr>
        <w:spacing w:after="0" w:line="38"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Conversable Inc.’s capabilities will accelerate the ongoing expansion of the Company's Conversational Commerce solutions and enhance the Company’s ability to deliver proactive and personalized content and services when and where the customer needs it, helping consumers find immediate service through messaging. Conversable, Inc. is included in the Company's business segment.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BotCentral, Inc.</w:t>
      </w:r>
    </w:p>
    <w:p>
      <w:pPr>
        <w:spacing w:after="0" w:line="283" w:lineRule="exact"/>
        <w:rPr>
          <w:sz w:val="20"/>
          <w:szCs w:val="20"/>
          <w:color w:val="auto"/>
        </w:rPr>
      </w:pPr>
    </w:p>
    <w:p>
      <w:pPr>
        <w:jc w:val="both"/>
        <w:ind w:firstLine="561"/>
        <w:spacing w:after="0" w:line="292" w:lineRule="auto"/>
        <w:rPr>
          <w:sz w:val="20"/>
          <w:szCs w:val="20"/>
          <w:color w:val="auto"/>
        </w:rPr>
      </w:pPr>
      <w:r>
        <w:rPr>
          <w:rFonts w:ascii="Arial" w:cs="Arial" w:eastAsia="Arial" w:hAnsi="Arial"/>
          <w:sz w:val="14"/>
          <w:szCs w:val="14"/>
          <w:color w:val="auto"/>
        </w:rPr>
        <w:t>In January 2018, the Company acquired the employees and technology assets of BotCentral, Inc., a Silicon Valley based startup, for a purchase price of approximately $1.0 million in common stock of the Company. The Company incurred an additional $0.2 million related to acquisition costs. This transaction was accounted for as an asset purchase. The aggregate amount of approximately $1.2 million is included in intangibles on the Company's consolidated balance sheet. With the BotCentral team's expertise and knowledge of the LiveEngage platform, the team is bringing valuable insight for the Company's customers and partners, and enabling the company to more rapidly optimize its bot deployment capabilities, and grow the ecosystem. BotCentral, Inc. is included in the Company's business segment.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Fair Value Measurements</w:t>
      </w:r>
    </w:p>
    <w:p>
      <w:pPr>
        <w:spacing w:after="0" w:line="194"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77" w:lineRule="exact"/>
        <w:rPr>
          <w:sz w:val="20"/>
          <w:szCs w:val="20"/>
          <w:color w:val="auto"/>
        </w:rPr>
      </w:pPr>
    </w:p>
    <w:p>
      <w:pPr>
        <w:ind w:left="980" w:hanging="2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1: Observable inputs that reflect quoted prices (unadjusted) for identical assets or liabilities in active markets.</w:t>
      </w:r>
    </w:p>
    <w:p>
      <w:pPr>
        <w:spacing w:after="0" w:line="96" w:lineRule="exact"/>
        <w:rPr>
          <w:rFonts w:ascii="Arial" w:cs="Arial" w:eastAsia="Arial" w:hAnsi="Arial"/>
          <w:sz w:val="16"/>
          <w:szCs w:val="16"/>
          <w:color w:val="auto"/>
        </w:rPr>
      </w:pPr>
    </w:p>
    <w:p>
      <w:pPr>
        <w:jc w:val="both"/>
        <w:ind w:left="980" w:hanging="286"/>
        <w:spacing w:after="0" w:line="253"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2" w:lineRule="exact"/>
        <w:rPr>
          <w:rFonts w:ascii="Arial" w:cs="Arial" w:eastAsia="Arial" w:hAnsi="Arial"/>
          <w:sz w:val="16"/>
          <w:szCs w:val="16"/>
          <w:color w:val="auto"/>
        </w:rPr>
      </w:pPr>
    </w:p>
    <w:p>
      <w:pPr>
        <w:ind w:left="980" w:hanging="286"/>
        <w:spacing w:after="0" w:line="263"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0"/>
          </w:cols>
          <w:pgMar w:left="320" w:top="170"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 and Liabilities</w:t>
      </w:r>
    </w:p>
    <w:p>
      <w:pPr>
        <w:spacing w:after="0" w:line="96" w:lineRule="exact"/>
        <w:rPr>
          <w:sz w:val="20"/>
          <w:szCs w:val="20"/>
          <w:color w:val="auto"/>
        </w:rPr>
      </w:pPr>
    </w:p>
    <w:p>
      <w:pPr>
        <w:jc w:val="both"/>
        <w:ind w:right="20" w:firstLine="561"/>
        <w:spacing w:after="0" w:line="253" w:lineRule="auto"/>
        <w:rPr>
          <w:sz w:val="20"/>
          <w:szCs w:val="20"/>
          <w:color w:val="auto"/>
        </w:rPr>
      </w:pPr>
      <w:r>
        <w:rPr>
          <w:rFonts w:ascii="Arial" w:cs="Arial" w:eastAsia="Arial" w:hAnsi="Arial"/>
          <w:sz w:val="16"/>
          <w:szCs w:val="16"/>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June 30, 2020 and December 31, 2019, are summarized as follows (amounts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5"/>
          </w:tcPr>
          <w:p>
            <w:pPr>
              <w:ind w:left="42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8"/>
        </w:trPr>
        <w:tc>
          <w:tcPr>
            <w:tcW w:w="3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7"/>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600" w:type="dxa"/>
            <w:vAlign w:val="bottom"/>
          </w:tcPr>
          <w:p>
            <w:pPr>
              <w:jc w:val="right"/>
              <w:ind w:right="150"/>
              <w:spacing w:after="0"/>
              <w:rPr>
                <w:sz w:val="20"/>
                <w:szCs w:val="20"/>
                <w:color w:val="auto"/>
              </w:rPr>
            </w:pPr>
            <w:r>
              <w:rPr>
                <w:rFonts w:ascii="Arial" w:cs="Arial" w:eastAsia="Arial" w:hAnsi="Arial"/>
                <w:sz w:val="14"/>
                <w:szCs w:val="14"/>
                <w:b w:val="1"/>
                <w:bCs w:val="1"/>
                <w:color w:val="auto"/>
              </w:rPr>
              <w:t>Total</w:t>
            </w:r>
          </w:p>
        </w:tc>
      </w:tr>
      <w:tr>
        <w:trPr>
          <w:trHeight w:val="28"/>
        </w:trPr>
        <w:tc>
          <w:tcPr>
            <w:tcW w:w="384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5"/>
        </w:trPr>
        <w:tc>
          <w:tcPr>
            <w:tcW w:w="38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7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6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7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6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64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64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600" w:type="dxa"/>
            <w:vAlign w:val="bottom"/>
            <w:tcBorders>
              <w:bottom w:val="single" w:sz="8" w:color="CCFFCC"/>
            </w:tcBorders>
            <w:shd w:val="clear" w:color="auto" w:fill="CCFFCC"/>
          </w:tcPr>
          <w:p>
            <w:pPr>
              <w:spacing w:after="0"/>
              <w:rPr>
                <w:sz w:val="17"/>
                <w:szCs w:val="17"/>
                <w:color w:val="auto"/>
              </w:rPr>
            </w:pPr>
          </w:p>
        </w:tc>
      </w:tr>
      <w:tr>
        <w:trPr>
          <w:trHeight w:val="206"/>
        </w:trPr>
        <w:tc>
          <w:tcPr>
            <w:tcW w:w="384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8"/>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4"/>
        </w:trPr>
        <w:tc>
          <w:tcPr>
            <w:tcW w:w="38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3,195</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FFCC"/>
            </w:tcBorders>
            <w:gridSpan w:val="2"/>
            <w:shd w:val="clear" w:color="auto" w:fill="CCFFCC"/>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gridSpan w:val="2"/>
            <w:shd w:val="clear" w:color="auto" w:fill="CCFFCC"/>
          </w:tcPr>
          <w:p>
            <w:pPr>
              <w:ind w:left="4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3,195</w:t>
            </w:r>
          </w:p>
        </w:tc>
        <w:tc>
          <w:tcPr>
            <w:tcW w:w="2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2,899</w:t>
            </w: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2,899</w:t>
            </w:r>
          </w:p>
        </w:tc>
      </w:tr>
      <w:tr>
        <w:trPr>
          <w:trHeight w:val="245"/>
        </w:trPr>
        <w:tc>
          <w:tcPr>
            <w:tcW w:w="3840" w:type="dxa"/>
            <w:vAlign w:val="bottom"/>
            <w:tcBorders>
              <w:bottom w:val="single" w:sz="8" w:color="CCFFCC"/>
            </w:tcBorders>
          </w:tcPr>
          <w:p>
            <w:pPr>
              <w:ind w:left="2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3,195</w:t>
            </w:r>
          </w:p>
        </w:tc>
        <w:tc>
          <w:tcPr>
            <w:tcW w:w="120" w:type="dxa"/>
            <w:vAlign w:val="bottom"/>
            <w:tcBorders>
              <w:bottom w:val="single" w:sz="8" w:color="CCFFC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3,195</w:t>
            </w:r>
          </w:p>
        </w:tc>
        <w:tc>
          <w:tcPr>
            <w:tcW w:w="220" w:type="dxa"/>
            <w:vAlign w:val="bottom"/>
            <w:tcBorders>
              <w:bottom w:val="single" w:sz="8" w:color="CCFFC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2,899</w:t>
            </w:r>
          </w:p>
        </w:tc>
        <w:tc>
          <w:tcPr>
            <w:tcW w:w="100" w:type="dxa"/>
            <w:vAlign w:val="bottom"/>
            <w:tcBorders>
              <w:bottom w:val="single" w:sz="8" w:color="CCFFC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2,899</w:t>
            </w:r>
          </w:p>
        </w:tc>
      </w:tr>
      <w:tr>
        <w:trPr>
          <w:trHeight w:val="264"/>
        </w:trPr>
        <w:tc>
          <w:tcPr>
            <w:tcW w:w="384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7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6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6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4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600" w:type="dxa"/>
            <w:vAlign w:val="bottom"/>
            <w:shd w:val="clear" w:color="auto" w:fill="CCFFCC"/>
          </w:tcPr>
          <w:p>
            <w:pPr>
              <w:spacing w:after="0"/>
              <w:rPr>
                <w:sz w:val="22"/>
                <w:szCs w:val="22"/>
                <w:color w:val="auto"/>
              </w:rPr>
            </w:pPr>
          </w:p>
        </w:tc>
      </w:tr>
      <w:tr>
        <w:trPr>
          <w:trHeight w:val="206"/>
        </w:trPr>
        <w:tc>
          <w:tcPr>
            <w:tcW w:w="38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8"/>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4"/>
        </w:trPr>
        <w:tc>
          <w:tcPr>
            <w:tcW w:w="38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Contingent earn-out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FFCC"/>
            </w:tcBorders>
            <w:gridSpan w:val="2"/>
            <w:shd w:val="clear" w:color="auto" w:fill="CCFFCC"/>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gridSpan w:val="2"/>
            <w:shd w:val="clear" w:color="auto" w:fill="CCFFCC"/>
          </w:tcPr>
          <w:p>
            <w:pPr>
              <w:ind w:left="4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557</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557</w:t>
            </w:r>
          </w:p>
        </w:tc>
      </w:tr>
      <w:tr>
        <w:trPr>
          <w:trHeight w:val="205"/>
        </w:trPr>
        <w:tc>
          <w:tcPr>
            <w:tcW w:w="3840" w:type="dxa"/>
            <w:vAlign w:val="bottom"/>
          </w:tcPr>
          <w:p>
            <w:pPr>
              <w:ind w:left="24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557</w:t>
            </w: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72"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4"/>
          <w:szCs w:val="14"/>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ASC-350 to determine whether it is “more likely than not” that the fair value of a reporting unit is less than its carrying amount as a basis for determining whether it is necessary to perform a goodwill impairment test. This measurement is classified based on level 3 input.</w:t>
      </w:r>
    </w:p>
    <w:p>
      <w:pPr>
        <w:spacing w:after="0" w:line="54"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As of June 30, 2020, the fair value of the Notes, as further described in Note 8 above, was approximately $192 million. Management determines the fair value by utilizing an independent valuation specialist using the antithetic variable technique and is considered a level 2 fair value measurement.</w:t>
      </w:r>
    </w:p>
    <w:p>
      <w:pPr>
        <w:spacing w:after="0" w:line="64"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The Company recorded a contingent earn-out of $2.4 million in December 2018 in connection with the acquisitions of Conversable, Inc. and AdvantageTec Inc. The contingent earn-out is based on achieving certain targeted financial, strategic, and integration objectives. The unobservable inputs considered are probability factors and the time value of money. During the year ended December 31, 2019, the contingent earn-out decreased by $1.8 million due to a decrease in re-measurement to fair value of Conversable, Inc. of $0.5 million and payments of $0.5 million in cash and $1.0 million in shares, offset in part by an increase of re-measurement to fair value of AdvantageTec Inc. of $0.2 million. During the six months ended June 30, 2020, the contingent earn-out decreased by $0.6 million due to a decrease in re-measurement in fair value of AdvantageTec Inc. of $0.3 million and payments of $0.3 million in shares.</w:t>
      </w:r>
    </w:p>
    <w:p>
      <w:pPr>
        <w:spacing w:after="0" w:line="79"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auto"/>
        </w:rPr>
        <w:t>As a result, there was no remaining contingent earn-out balance as of June 30, 2020. See Note 9 of the Notes to condensed consolidated financial statements for a full description of the acquisition.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0"/>
          </w:cols>
          <w:pgMar w:left="320" w:top="170" w:right="31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changes in fair value of the level 3 liabilities are as follows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center"/>
              <w:ind w:right="111"/>
              <w:spacing w:after="0"/>
              <w:rPr>
                <w:sz w:val="20"/>
                <w:szCs w:val="20"/>
                <w:color w:val="auto"/>
              </w:rPr>
            </w:pPr>
            <w:r>
              <w:rPr>
                <w:rFonts w:ascii="Arial" w:cs="Arial" w:eastAsia="Arial" w:hAnsi="Arial"/>
                <w:sz w:val="12"/>
                <w:szCs w:val="12"/>
                <w:b w:val="1"/>
                <w:bCs w:val="1"/>
                <w:color w:val="auto"/>
                <w:w w:val="96"/>
              </w:rPr>
              <w:t>Contingent Earn-Out</w:t>
            </w:r>
          </w:p>
        </w:tc>
      </w:tr>
      <w:tr>
        <w:trPr>
          <w:trHeight w:val="225"/>
        </w:trPr>
        <w:tc>
          <w:tcPr>
            <w:tcW w:w="8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2"/>
                <w:szCs w:val="12"/>
                <w:b w:val="1"/>
                <w:bCs w:val="1"/>
                <w:color w:val="auto"/>
              </w:rPr>
              <w:t>June 30, 2020</w:t>
            </w:r>
          </w:p>
        </w:tc>
        <w:tc>
          <w:tcPr>
            <w:tcW w:w="180" w:type="dxa"/>
            <w:vAlign w:val="bottom"/>
          </w:tcPr>
          <w:p>
            <w:pPr>
              <w:spacing w:after="0"/>
              <w:rPr>
                <w:sz w:val="19"/>
                <w:szCs w:val="19"/>
                <w:color w:val="auto"/>
              </w:rPr>
            </w:pPr>
          </w:p>
        </w:tc>
        <w:tc>
          <w:tcPr>
            <w:tcW w:w="1380" w:type="dxa"/>
            <w:vAlign w:val="bottom"/>
          </w:tcPr>
          <w:p>
            <w:pPr>
              <w:jc w:val="right"/>
              <w:ind w:right="211"/>
              <w:spacing w:after="0"/>
              <w:rPr>
                <w:sz w:val="20"/>
                <w:szCs w:val="20"/>
                <w:color w:val="auto"/>
              </w:rPr>
            </w:pPr>
            <w:r>
              <w:rPr>
                <w:rFonts w:ascii="Arial" w:cs="Arial" w:eastAsia="Arial" w:hAnsi="Arial"/>
                <w:sz w:val="12"/>
                <w:szCs w:val="12"/>
                <w:b w:val="1"/>
                <w:bCs w:val="1"/>
                <w:color w:val="auto"/>
                <w:w w:val="99"/>
              </w:rPr>
              <w:t>December 31, 2019</w:t>
            </w:r>
          </w:p>
        </w:tc>
      </w:tr>
      <w:tr>
        <w:trPr>
          <w:trHeight w:val="199"/>
        </w:trPr>
        <w:tc>
          <w:tcPr>
            <w:tcW w:w="82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Beginning of period</w:t>
            </w:r>
          </w:p>
        </w:tc>
        <w:tc>
          <w:tcPr>
            <w:tcW w:w="200" w:type="dxa"/>
            <w:vAlign w:val="bottom"/>
            <w:tcBorders>
              <w:top w:val="single" w:sz="8" w:color="auto"/>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557</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2,372</w:t>
            </w:r>
          </w:p>
        </w:tc>
      </w:tr>
      <w:tr>
        <w:trPr>
          <w:trHeight w:val="206"/>
        </w:trPr>
        <w:tc>
          <w:tcPr>
            <w:tcW w:w="8220" w:type="dxa"/>
            <w:vAlign w:val="bottom"/>
          </w:tcPr>
          <w:p>
            <w:pPr>
              <w:ind w:left="140"/>
              <w:spacing w:after="0"/>
              <w:rPr>
                <w:sz w:val="20"/>
                <w:szCs w:val="20"/>
                <w:color w:val="auto"/>
              </w:rPr>
            </w:pPr>
            <w:r>
              <w:rPr>
                <w:rFonts w:ascii="Arial" w:cs="Arial" w:eastAsia="Arial" w:hAnsi="Arial"/>
                <w:sz w:val="14"/>
                <w:szCs w:val="14"/>
                <w:color w:val="auto"/>
              </w:rPr>
              <w:t>Conversable, Inc. fair value adjustment (see Note 9)</w:t>
            </w:r>
          </w:p>
        </w:tc>
        <w:tc>
          <w:tcPr>
            <w:tcW w:w="2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28"/>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4"/>
        </w:trPr>
        <w:tc>
          <w:tcPr>
            <w:tcW w:w="82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AdvantageTec Inc. fair value adjustment (see Note 9)</w:t>
            </w:r>
          </w:p>
        </w:tc>
        <w:tc>
          <w:tcPr>
            <w:tcW w:w="200" w:type="dxa"/>
            <w:vAlign w:val="bottom"/>
            <w:tcBorders>
              <w:bottom w:val="single" w:sz="8" w:color="CCFFCC"/>
            </w:tcBorders>
            <w:shd w:val="clear" w:color="auto" w:fill="CCFFCC"/>
          </w:tcPr>
          <w:p>
            <w:pPr>
              <w:spacing w:after="0"/>
              <w:rPr>
                <w:sz w:val="18"/>
                <w:szCs w:val="18"/>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38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168</w:t>
            </w:r>
          </w:p>
        </w:tc>
      </w:tr>
      <w:tr>
        <w:trPr>
          <w:trHeight w:val="206"/>
        </w:trPr>
        <w:tc>
          <w:tcPr>
            <w:tcW w:w="8220" w:type="dxa"/>
            <w:vAlign w:val="bottom"/>
          </w:tcPr>
          <w:p>
            <w:pPr>
              <w:ind w:left="140"/>
              <w:spacing w:after="0"/>
              <w:rPr>
                <w:sz w:val="20"/>
                <w:szCs w:val="20"/>
                <w:color w:val="auto"/>
              </w:rPr>
            </w:pPr>
            <w:r>
              <w:rPr>
                <w:rFonts w:ascii="Arial" w:cs="Arial" w:eastAsia="Arial" w:hAnsi="Arial"/>
                <w:sz w:val="14"/>
                <w:szCs w:val="14"/>
                <w:color w:val="auto"/>
              </w:rPr>
              <w:t>Payments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(1,487)</w:t>
            </w:r>
          </w:p>
        </w:tc>
      </w:tr>
      <w:tr>
        <w:trPr>
          <w:trHeight w:val="28"/>
        </w:trPr>
        <w:tc>
          <w:tcPr>
            <w:tcW w:w="82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5"/>
        </w:trPr>
        <w:tc>
          <w:tcPr>
            <w:tcW w:w="8220" w:type="dxa"/>
            <w:vAlign w:val="bottom"/>
            <w:shd w:val="clear" w:color="auto" w:fill="CCFFCC"/>
          </w:tcPr>
          <w:p>
            <w:pPr>
              <w:ind w:left="20"/>
              <w:spacing w:after="0"/>
              <w:rPr>
                <w:sz w:val="20"/>
                <w:szCs w:val="20"/>
                <w:color w:val="auto"/>
              </w:rPr>
            </w:pPr>
            <w:r>
              <w:rPr>
                <w:rFonts w:ascii="Arial" w:cs="Arial" w:eastAsia="Arial" w:hAnsi="Arial"/>
                <w:sz w:val="14"/>
                <w:szCs w:val="14"/>
                <w:color w:val="auto"/>
              </w:rPr>
              <w:t>Balance, End of period</w:t>
            </w:r>
          </w:p>
        </w:tc>
        <w:tc>
          <w:tcPr>
            <w:tcW w:w="200" w:type="dxa"/>
            <w:vAlign w:val="bottom"/>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FFCC"/>
          </w:tcPr>
          <w:p>
            <w:pPr>
              <w:jc w:val="right"/>
              <w:ind w:right="51"/>
              <w:spacing w:after="0"/>
              <w:rPr>
                <w:sz w:val="20"/>
                <w:szCs w:val="20"/>
                <w:color w:val="auto"/>
              </w:rPr>
            </w:pPr>
            <w:r>
              <w:rPr>
                <w:rFonts w:ascii="Arial" w:cs="Arial" w:eastAsia="Arial" w:hAnsi="Arial"/>
                <w:sz w:val="14"/>
                <w:szCs w:val="14"/>
                <w:color w:val="auto"/>
              </w:rPr>
              <w:t>557</w:t>
            </w:r>
          </w:p>
        </w:tc>
      </w:tr>
      <w:tr>
        <w:trPr>
          <w:trHeight w:val="20"/>
        </w:trPr>
        <w:tc>
          <w:tcPr>
            <w:tcW w:w="82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Commitments and Contingencies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96" w:lineRule="exact"/>
        <w:rPr>
          <w:sz w:val="20"/>
          <w:szCs w:val="20"/>
          <w:color w:val="auto"/>
        </w:rPr>
      </w:pPr>
    </w:p>
    <w:p>
      <w:pPr>
        <w:jc w:val="both"/>
        <w:ind w:right="20" w:firstLine="561"/>
        <w:spacing w:after="0" w:line="250" w:lineRule="auto"/>
        <w:rPr>
          <w:sz w:val="20"/>
          <w:szCs w:val="20"/>
          <w:color w:val="auto"/>
        </w:rPr>
      </w:pPr>
      <w:r>
        <w:rPr>
          <w:rFonts w:ascii="Arial" w:cs="Arial" w:eastAsia="Arial" w:hAnsi="Arial"/>
          <w:sz w:val="16"/>
          <w:szCs w:val="16"/>
          <w:color w:val="auto"/>
        </w:rPr>
        <w:t>The Company leases facilities and certain car leases (the "leases") under agreements accounted for as operating leases. The leases have initial lease terms ranging from 1 years to 12 years. Payments due under the lease contracts include primarily fixed payments. The lease terms include periods under options to extend or terminate the lease when it is reasonably certain that we will exercise that option. Currently, there are no operating leases where we believe it is reasonably certain that the Company will exercise any option to extend the initial term.</w:t>
      </w:r>
    </w:p>
    <w:p>
      <w:pPr>
        <w:spacing w:after="0" w:line="98"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The Company has evaluated its facility leases and determined which leases met the definition of the new standard in accordance with Topic 842. The Company also performed an evaluation of their other contracts with suppliers in accordance with Topic 842 and have determined that, except for the facilities and car leases described above, none of its supply contracts contain a lease. Further, the Company has made an accounting policy election to keep leases with a term of twelve months or less off the balance sheet. This policy applies to all classes of the underlying assets. The Company will recognize those lease payments and associated interest expense in the consolidated statement of operations evenly over the lease term.</w:t>
      </w:r>
    </w:p>
    <w:p>
      <w:pPr>
        <w:spacing w:after="0" w:line="101" w:lineRule="exact"/>
        <w:rPr>
          <w:sz w:val="20"/>
          <w:szCs w:val="20"/>
          <w:color w:val="auto"/>
        </w:rPr>
      </w:pPr>
    </w:p>
    <w:p>
      <w:pPr>
        <w:jc w:val="both"/>
        <w:ind w:right="20" w:firstLine="561"/>
        <w:spacing w:after="0" w:line="306" w:lineRule="auto"/>
        <w:rPr>
          <w:sz w:val="20"/>
          <w:szCs w:val="20"/>
          <w:color w:val="auto"/>
        </w:rPr>
      </w:pPr>
      <w:r>
        <w:rPr>
          <w:rFonts w:ascii="Arial" w:cs="Arial" w:eastAsia="Arial" w:hAnsi="Arial"/>
          <w:sz w:val="14"/>
          <w:szCs w:val="14"/>
          <w:color w:val="auto"/>
        </w:rPr>
        <w:t>The Company elected the “package of practical expedients,” which permits the Company not to reassess under ASC 842 its prior conclusions about lease identification, lease classification and initial direct costs. The Company also made a policy election not to separate non-lease components from lease components. Furthermore, the Company elected to not capitalize leases with a term of 12 months or less and recognize the lease expense for such leases generally on a straight-line basis over the lease term.</w:t>
      </w:r>
    </w:p>
    <w:p>
      <w:pPr>
        <w:spacing w:after="0" w:line="62"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auto"/>
        </w:rPr>
        <w:t>In connection with the leases, the Company recognized operating lease right-of-use assets of $13.2 million and $15.7 million and an aggregate lease liability of $16.9 million and $19.5 million in its condensed consolidated balance sheet as of June 30, 2020 and December 31, 2019, respectively.</w:t>
      </w:r>
    </w:p>
    <w:p>
      <w:pPr>
        <w:spacing w:after="0" w:line="87" w:lineRule="exact"/>
        <w:rPr>
          <w:sz w:val="20"/>
          <w:szCs w:val="20"/>
          <w:color w:val="auto"/>
        </w:rPr>
      </w:pPr>
    </w:p>
    <w:p>
      <w:pPr>
        <w:jc w:val="both"/>
        <w:ind w:firstLine="561"/>
        <w:spacing w:after="0" w:line="292" w:lineRule="auto"/>
        <w:rPr>
          <w:sz w:val="20"/>
          <w:szCs w:val="20"/>
          <w:color w:val="auto"/>
        </w:rPr>
      </w:pPr>
      <w:r>
        <w:rPr>
          <w:rFonts w:ascii="Arial" w:cs="Arial" w:eastAsia="Arial" w:hAnsi="Arial"/>
          <w:sz w:val="14"/>
          <w:szCs w:val="14"/>
          <w:color w:val="auto"/>
        </w:rPr>
        <w:t>The determination of the discount rate used to calculate the present value of the right-of-use assets and lease liabilities depends on whether an interest rate is specified in the lease or not. If the lease specifies a rate, that rate is used when calculating the present value of lease payments. If the rate is not readily determinable, which is generally the case for the Company, the Company’s incremental borrowing rate (“IBR”) as of the date of inception of the lease is used (for initial measurement, the IBR was determined as of the adoption date of the standard). The IBR is the rate of interest that the Company would have to pay to borrow on a collateralized basis over a similar term and amount equal to the lease payments in a similar economic environment. The Company used a ratings benchmark report against its peers in the technology sector.</w:t>
      </w:r>
    </w:p>
    <w:p>
      <w:pPr>
        <w:spacing w:after="0" w:line="72"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The Company has operating leases for its corporate offices and other service agreements. The Company's leases have remaining lease terms of 1 to 12 years, some of which include options to extend. The Company's lease expense for the three months ended June 30, 2020 and 2019, consisting entirely of operating leases, was approximately $3.3 million and $3.2 million, respectively. The Company's lease expense for the six months ended June 30, 2020 and 2019 was approximately $6.8 million and $6.1 million, respectively. Operating lease payments, which reduced operating cash flows, amounted to $4.2 million and $3.2 million for the six months ended June 30, 2020 and 2019, respectively.</w:t>
      </w:r>
    </w:p>
    <w:p>
      <w:pPr>
        <w:spacing w:after="0" w:line="101"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During the six months ended June 30, 2020, the Company decided to abandon the Berlin office. The cease use date was March 31, 2020. According to ASC 842, the Company elected to apply the "loss of straight-line lease cost", amortizing the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320" w:top="170"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remaining right-of-use asset of approximately $0.4 million from the decision date to the cease use date. This expense is included in restructuring costs in the condensed consolidated statements of operations for the six months ended June 30, 2020.</w:t>
      </w:r>
    </w:p>
    <w:p>
      <w:pPr>
        <w:spacing w:after="0" w:line="87"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ind w:left="240"/>
              <w:spacing w:after="0"/>
              <w:rPr>
                <w:sz w:val="20"/>
                <w:szCs w:val="20"/>
                <w:color w:val="auto"/>
              </w:rPr>
            </w:pPr>
            <w:r>
              <w:rPr>
                <w:rFonts w:ascii="Arial" w:cs="Arial" w:eastAsia="Arial" w:hAnsi="Arial"/>
                <w:sz w:val="12"/>
                <w:szCs w:val="12"/>
                <w:b w:val="1"/>
                <w:bCs w:val="1"/>
                <w:color w:val="auto"/>
              </w:rPr>
              <w:t>As of June 30, 2020</w:t>
            </w:r>
          </w:p>
        </w:tc>
        <w:tc>
          <w:tcPr>
            <w:tcW w:w="220" w:type="dxa"/>
            <w:vAlign w:val="bottom"/>
          </w:tcPr>
          <w:p>
            <w:pPr>
              <w:spacing w:after="0"/>
              <w:rPr>
                <w:sz w:val="14"/>
                <w:szCs w:val="14"/>
                <w:color w:val="auto"/>
              </w:rPr>
            </w:pPr>
          </w:p>
        </w:tc>
        <w:tc>
          <w:tcPr>
            <w:tcW w:w="1820" w:type="dxa"/>
            <w:vAlign w:val="bottom"/>
          </w:tcPr>
          <w:p>
            <w:pPr>
              <w:jc w:val="right"/>
              <w:ind w:right="311"/>
              <w:spacing w:after="0"/>
              <w:rPr>
                <w:sz w:val="20"/>
                <w:szCs w:val="20"/>
                <w:color w:val="auto"/>
              </w:rPr>
            </w:pPr>
            <w:r>
              <w:rPr>
                <w:rFonts w:ascii="Arial" w:cs="Arial" w:eastAsia="Arial" w:hAnsi="Arial"/>
                <w:sz w:val="12"/>
                <w:szCs w:val="12"/>
                <w:b w:val="1"/>
                <w:bCs w:val="1"/>
                <w:color w:val="auto"/>
              </w:rPr>
              <w:t>As of December 31, 2019</w:t>
            </w:r>
          </w:p>
        </w:tc>
      </w:tr>
      <w:tr>
        <w:trPr>
          <w:trHeight w:val="234"/>
        </w:trPr>
        <w:tc>
          <w:tcPr>
            <w:tcW w:w="6960" w:type="dxa"/>
            <w:vAlign w:val="bottom"/>
            <w:shd w:val="clear" w:color="auto" w:fill="CCFFCC"/>
          </w:tcPr>
          <w:p>
            <w:pPr>
              <w:ind w:left="20"/>
              <w:spacing w:after="0"/>
              <w:rPr>
                <w:sz w:val="20"/>
                <w:szCs w:val="20"/>
                <w:color w:val="auto"/>
              </w:rPr>
            </w:pPr>
            <w:r>
              <w:rPr>
                <w:rFonts w:ascii="Arial" w:cs="Arial" w:eastAsia="Arial" w:hAnsi="Arial"/>
                <w:sz w:val="14"/>
                <w:szCs w:val="14"/>
                <w:b w:val="1"/>
                <w:bCs w:val="1"/>
                <w:color w:val="auto"/>
              </w:rPr>
              <w:t>Operating Leases</w:t>
            </w:r>
          </w:p>
        </w:tc>
        <w:tc>
          <w:tcPr>
            <w:tcW w:w="320" w:type="dxa"/>
            <w:vAlign w:val="bottom"/>
            <w:tcBorders>
              <w:bottom w:val="single" w:sz="8" w:color="auto"/>
            </w:tcBorders>
            <w:shd w:val="clear" w:color="auto" w:fill="CCFFCC"/>
          </w:tcPr>
          <w:p>
            <w:pPr>
              <w:spacing w:after="0"/>
              <w:rPr>
                <w:sz w:val="20"/>
                <w:szCs w:val="20"/>
                <w:color w:val="auto"/>
              </w:rPr>
            </w:pPr>
          </w:p>
        </w:tc>
        <w:tc>
          <w:tcPr>
            <w:tcW w:w="3980" w:type="dxa"/>
            <w:vAlign w:val="bottom"/>
            <w:tcBorders>
              <w:bottom w:val="single" w:sz="8" w:color="auto"/>
            </w:tcBorders>
            <w:gridSpan w:val="4"/>
            <w:shd w:val="clear" w:color="auto" w:fill="CCFFCC"/>
          </w:tcPr>
          <w:p>
            <w:pPr>
              <w:jc w:val="right"/>
              <w:ind w:right="731"/>
              <w:spacing w:after="0"/>
              <w:rPr>
                <w:sz w:val="20"/>
                <w:szCs w:val="20"/>
                <w:color w:val="auto"/>
              </w:rPr>
            </w:pPr>
            <w:r>
              <w:rPr>
                <w:rFonts w:ascii="Arial" w:cs="Arial" w:eastAsia="Arial" w:hAnsi="Arial"/>
                <w:sz w:val="12"/>
                <w:szCs w:val="12"/>
                <w:b w:val="1"/>
                <w:bCs w:val="1"/>
                <w:color w:val="auto"/>
              </w:rPr>
              <w:t>(in thousands, except lease term and discount rate)</w:t>
            </w:r>
          </w:p>
        </w:tc>
      </w:tr>
      <w:tr>
        <w:trPr>
          <w:trHeight w:val="203"/>
        </w:trPr>
        <w:tc>
          <w:tcPr>
            <w:tcW w:w="6960" w:type="dxa"/>
            <w:vAlign w:val="bottom"/>
          </w:tcPr>
          <w:p>
            <w:pPr>
              <w:ind w:left="20"/>
              <w:spacing w:after="0"/>
              <w:rPr>
                <w:sz w:val="20"/>
                <w:szCs w:val="20"/>
                <w:color w:val="auto"/>
              </w:rPr>
            </w:pPr>
            <w:r>
              <w:rPr>
                <w:rFonts w:ascii="Arial" w:cs="Arial" w:eastAsia="Arial" w:hAnsi="Arial"/>
                <w:sz w:val="14"/>
                <w:szCs w:val="14"/>
                <w:color w:val="auto"/>
              </w:rPr>
              <w:t>Right-of-use asset</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820" w:type="dxa"/>
            <w:vAlign w:val="bottom"/>
          </w:tcPr>
          <w:p>
            <w:pPr>
              <w:jc w:val="right"/>
              <w:ind w:right="72"/>
              <w:spacing w:after="0"/>
              <w:rPr>
                <w:sz w:val="20"/>
                <w:szCs w:val="20"/>
                <w:color w:val="auto"/>
              </w:rPr>
            </w:pPr>
            <w:r>
              <w:rPr>
                <w:rFonts w:ascii="Arial" w:cs="Arial" w:eastAsia="Arial" w:hAnsi="Arial"/>
                <w:sz w:val="14"/>
                <w:szCs w:val="14"/>
                <w:color w:val="auto"/>
              </w:rPr>
              <w:t>13,156</w:t>
            </w:r>
          </w:p>
        </w:tc>
        <w:tc>
          <w:tcPr>
            <w:tcW w:w="12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820" w:type="dxa"/>
            <w:vAlign w:val="bottom"/>
          </w:tcPr>
          <w:p>
            <w:pPr>
              <w:jc w:val="right"/>
              <w:ind w:right="71"/>
              <w:spacing w:after="0"/>
              <w:rPr>
                <w:sz w:val="20"/>
                <w:szCs w:val="20"/>
                <w:color w:val="auto"/>
              </w:rPr>
            </w:pPr>
            <w:r>
              <w:rPr>
                <w:rFonts w:ascii="Arial" w:cs="Arial" w:eastAsia="Arial" w:hAnsi="Arial"/>
                <w:sz w:val="14"/>
                <w:szCs w:val="14"/>
                <w:color w:val="auto"/>
              </w:rPr>
              <w:t>15,680</w:t>
            </w:r>
          </w:p>
        </w:tc>
      </w:tr>
      <w:tr>
        <w:trPr>
          <w:trHeight w:val="28"/>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7"/>
        </w:trPr>
        <w:tc>
          <w:tcPr>
            <w:tcW w:w="696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8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820" w:type="dxa"/>
            <w:vAlign w:val="bottom"/>
            <w:shd w:val="clear" w:color="auto" w:fill="CCFFCC"/>
          </w:tcPr>
          <w:p>
            <w:pPr>
              <w:spacing w:after="0"/>
              <w:rPr>
                <w:sz w:val="22"/>
                <w:szCs w:val="22"/>
                <w:color w:val="auto"/>
              </w:rPr>
            </w:pPr>
          </w:p>
        </w:tc>
      </w:tr>
      <w:tr>
        <w:trPr>
          <w:trHeight w:val="206"/>
        </w:trPr>
        <w:tc>
          <w:tcPr>
            <w:tcW w:w="6960" w:type="dxa"/>
            <w:vAlign w:val="bottom"/>
          </w:tcPr>
          <w:p>
            <w:pPr>
              <w:ind w:left="20"/>
              <w:spacing w:after="0"/>
              <w:rPr>
                <w:sz w:val="20"/>
                <w:szCs w:val="20"/>
                <w:color w:val="auto"/>
              </w:rPr>
            </w:pPr>
            <w:r>
              <w:rPr>
                <w:rFonts w:ascii="Arial" w:cs="Arial" w:eastAsia="Arial" w:hAnsi="Arial"/>
                <w:sz w:val="14"/>
                <w:szCs w:val="14"/>
                <w:color w:val="auto"/>
              </w:rPr>
              <w:t>Current operating lease liability</w:t>
            </w:r>
          </w:p>
        </w:tc>
        <w:tc>
          <w:tcPr>
            <w:tcW w:w="320" w:type="dxa"/>
            <w:vAlign w:val="bottom"/>
          </w:tcPr>
          <w:p>
            <w:pPr>
              <w:spacing w:after="0"/>
              <w:rPr>
                <w:sz w:val="17"/>
                <w:szCs w:val="17"/>
                <w:color w:val="auto"/>
              </w:rPr>
            </w:pPr>
          </w:p>
        </w:tc>
        <w:tc>
          <w:tcPr>
            <w:tcW w:w="1820" w:type="dxa"/>
            <w:vAlign w:val="bottom"/>
          </w:tcPr>
          <w:p>
            <w:pPr>
              <w:jc w:val="right"/>
              <w:ind w:right="72"/>
              <w:spacing w:after="0"/>
              <w:rPr>
                <w:sz w:val="20"/>
                <w:szCs w:val="20"/>
                <w:color w:val="auto"/>
              </w:rPr>
            </w:pPr>
            <w:r>
              <w:rPr>
                <w:rFonts w:ascii="Arial" w:cs="Arial" w:eastAsia="Arial" w:hAnsi="Arial"/>
                <w:sz w:val="14"/>
                <w:szCs w:val="14"/>
                <w:color w:val="auto"/>
              </w:rPr>
              <w:t>6,196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71"/>
              <w:spacing w:after="0"/>
              <w:rPr>
                <w:sz w:val="20"/>
                <w:szCs w:val="20"/>
                <w:color w:val="auto"/>
              </w:rPr>
            </w:pPr>
            <w:r>
              <w:rPr>
                <w:rFonts w:ascii="Arial" w:cs="Arial" w:eastAsia="Arial" w:hAnsi="Arial"/>
                <w:sz w:val="14"/>
                <w:szCs w:val="14"/>
                <w:color w:val="auto"/>
              </w:rPr>
              <w:t>6,602</w:t>
            </w:r>
          </w:p>
        </w:tc>
      </w:tr>
      <w:tr>
        <w:trPr>
          <w:trHeight w:val="28"/>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4"/>
        </w:trPr>
        <w:tc>
          <w:tcPr>
            <w:tcW w:w="6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Long term operating lease liability</w:t>
            </w:r>
          </w:p>
        </w:tc>
        <w:tc>
          <w:tcPr>
            <w:tcW w:w="32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72"/>
              <w:spacing w:after="0"/>
              <w:rPr>
                <w:sz w:val="20"/>
                <w:szCs w:val="20"/>
                <w:color w:val="auto"/>
              </w:rPr>
            </w:pPr>
            <w:r>
              <w:rPr>
                <w:rFonts w:ascii="Arial" w:cs="Arial" w:eastAsia="Arial" w:hAnsi="Arial"/>
                <w:sz w:val="14"/>
                <w:szCs w:val="14"/>
                <w:color w:val="auto"/>
              </w:rPr>
              <w:t>10,725</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71"/>
              <w:spacing w:after="0"/>
              <w:rPr>
                <w:sz w:val="20"/>
                <w:szCs w:val="20"/>
                <w:color w:val="auto"/>
              </w:rPr>
            </w:pPr>
            <w:r>
              <w:rPr>
                <w:rFonts w:ascii="Arial" w:cs="Arial" w:eastAsia="Arial" w:hAnsi="Arial"/>
                <w:sz w:val="14"/>
                <w:szCs w:val="14"/>
                <w:color w:val="auto"/>
              </w:rPr>
              <w:t>12,865</w:t>
            </w:r>
          </w:p>
        </w:tc>
      </w:tr>
      <w:tr>
        <w:trPr>
          <w:trHeight w:val="186"/>
        </w:trPr>
        <w:tc>
          <w:tcPr>
            <w:tcW w:w="6960" w:type="dxa"/>
            <w:vAlign w:val="bottom"/>
          </w:tcPr>
          <w:p>
            <w:pPr>
              <w:ind w:left="160"/>
              <w:spacing w:after="0"/>
              <w:rPr>
                <w:sz w:val="20"/>
                <w:szCs w:val="20"/>
                <w:color w:val="auto"/>
              </w:rPr>
            </w:pPr>
            <w:r>
              <w:rPr>
                <w:rFonts w:ascii="Arial" w:cs="Arial" w:eastAsia="Arial" w:hAnsi="Arial"/>
                <w:sz w:val="14"/>
                <w:szCs w:val="14"/>
                <w:color w:val="auto"/>
              </w:rPr>
              <w:t>Total operating lease liability</w:t>
            </w:r>
          </w:p>
        </w:tc>
        <w:tc>
          <w:tcPr>
            <w:tcW w:w="320" w:type="dxa"/>
            <w:vAlign w:val="bottom"/>
            <w:tcBorders>
              <w:top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16,921</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19,467</w:t>
            </w:r>
          </w:p>
        </w:tc>
      </w:tr>
      <w:tr>
        <w:trPr>
          <w:trHeight w:val="28"/>
        </w:trPr>
        <w:tc>
          <w:tcPr>
            <w:tcW w:w="696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9"/>
        </w:trPr>
        <w:tc>
          <w:tcPr>
            <w:tcW w:w="696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r>
      <w:tr>
        <w:trPr>
          <w:trHeight w:val="206"/>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Weighted Average Remaining Lease Term</w:t>
            </w: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8"/>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4"/>
        </w:trPr>
        <w:tc>
          <w:tcPr>
            <w:tcW w:w="69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4"/>
                <w:szCs w:val="14"/>
                <w:color w:val="auto"/>
              </w:rPr>
              <w:t>Operating leases</w:t>
            </w:r>
          </w:p>
        </w:tc>
        <w:tc>
          <w:tcPr>
            <w:tcW w:w="320" w:type="dxa"/>
            <w:vAlign w:val="bottom"/>
            <w:tcBorders>
              <w:bottom w:val="single" w:sz="8" w:color="CCFFCC"/>
            </w:tcBorders>
            <w:shd w:val="clear" w:color="auto" w:fill="CCFFCC"/>
          </w:tcPr>
          <w:p>
            <w:pPr>
              <w:spacing w:after="0"/>
              <w:rPr>
                <w:sz w:val="18"/>
                <w:szCs w:val="18"/>
                <w:color w:val="auto"/>
              </w:rPr>
            </w:pPr>
          </w:p>
        </w:tc>
        <w:tc>
          <w:tcPr>
            <w:tcW w:w="1940" w:type="dxa"/>
            <w:vAlign w:val="bottom"/>
            <w:tcBorders>
              <w:bottom w:val="single" w:sz="8" w:color="CCFFCC"/>
            </w:tcBorders>
            <w:gridSpan w:val="2"/>
            <w:shd w:val="clear" w:color="auto" w:fill="CCFFCC"/>
          </w:tcPr>
          <w:p>
            <w:pPr>
              <w:ind w:left="1180"/>
              <w:spacing w:after="0"/>
              <w:rPr>
                <w:sz w:val="20"/>
                <w:szCs w:val="20"/>
                <w:color w:val="auto"/>
              </w:rPr>
            </w:pPr>
            <w:r>
              <w:rPr>
                <w:rFonts w:ascii="Arial" w:cs="Arial" w:eastAsia="Arial" w:hAnsi="Arial"/>
                <w:sz w:val="14"/>
                <w:szCs w:val="14"/>
                <w:color w:val="auto"/>
              </w:rPr>
              <w:t>3.4 years</w:t>
            </w:r>
          </w:p>
        </w:tc>
        <w:tc>
          <w:tcPr>
            <w:tcW w:w="220" w:type="dxa"/>
            <w:vAlign w:val="bottom"/>
            <w:tcBorders>
              <w:bottom w:val="single" w:sz="8" w:color="CCFFCC"/>
            </w:tcBorders>
            <w:shd w:val="clear" w:color="auto" w:fill="CCFFCC"/>
          </w:tcPr>
          <w:p>
            <w:pPr>
              <w:spacing w:after="0"/>
              <w:rPr>
                <w:sz w:val="18"/>
                <w:szCs w:val="18"/>
                <w:color w:val="auto"/>
              </w:rPr>
            </w:pPr>
          </w:p>
        </w:tc>
        <w:tc>
          <w:tcPr>
            <w:tcW w:w="1820" w:type="dxa"/>
            <w:vAlign w:val="bottom"/>
            <w:tcBorders>
              <w:bottom w:val="single" w:sz="8" w:color="CCFFCC"/>
            </w:tcBorders>
            <w:shd w:val="clear" w:color="auto" w:fill="CCFFCC"/>
          </w:tcPr>
          <w:p>
            <w:pPr>
              <w:jc w:val="right"/>
              <w:ind w:right="71"/>
              <w:spacing w:after="0"/>
              <w:rPr>
                <w:sz w:val="20"/>
                <w:szCs w:val="20"/>
                <w:color w:val="auto"/>
              </w:rPr>
            </w:pPr>
            <w:r>
              <w:rPr>
                <w:rFonts w:ascii="Arial" w:cs="Arial" w:eastAsia="Arial" w:hAnsi="Arial"/>
                <w:sz w:val="14"/>
                <w:szCs w:val="14"/>
                <w:color w:val="auto"/>
              </w:rPr>
              <w:t>3.5 years</w:t>
            </w:r>
          </w:p>
        </w:tc>
      </w:tr>
      <w:tr>
        <w:trPr>
          <w:trHeight w:val="257"/>
        </w:trPr>
        <w:tc>
          <w:tcPr>
            <w:tcW w:w="6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4"/>
        </w:trPr>
        <w:tc>
          <w:tcPr>
            <w:tcW w:w="6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320" w:type="dxa"/>
            <w:vAlign w:val="bottom"/>
            <w:tcBorders>
              <w:bottom w:val="single" w:sz="8" w:color="CCFFCC"/>
            </w:tcBorders>
            <w:shd w:val="clear" w:color="auto" w:fill="CCFFCC"/>
          </w:tcPr>
          <w:p>
            <w:pPr>
              <w:spacing w:after="0"/>
              <w:rPr>
                <w:sz w:val="18"/>
                <w:szCs w:val="18"/>
                <w:color w:val="auto"/>
              </w:rPr>
            </w:pPr>
          </w:p>
        </w:tc>
        <w:tc>
          <w:tcPr>
            <w:tcW w:w="18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820" w:type="dxa"/>
            <w:vAlign w:val="bottom"/>
            <w:tcBorders>
              <w:bottom w:val="single" w:sz="8" w:color="CCFFCC"/>
            </w:tcBorders>
            <w:shd w:val="clear" w:color="auto" w:fill="CCFFCC"/>
          </w:tcPr>
          <w:p>
            <w:pPr>
              <w:spacing w:after="0"/>
              <w:rPr>
                <w:sz w:val="18"/>
                <w:szCs w:val="18"/>
                <w:color w:val="auto"/>
              </w:rPr>
            </w:pPr>
          </w:p>
        </w:tc>
      </w:tr>
      <w:tr>
        <w:trPr>
          <w:trHeight w:val="206"/>
        </w:trPr>
        <w:tc>
          <w:tcPr>
            <w:tcW w:w="6960" w:type="dxa"/>
            <w:vAlign w:val="bottom"/>
          </w:tcPr>
          <w:p>
            <w:pPr>
              <w:ind w:left="160"/>
              <w:spacing w:after="0"/>
              <w:rPr>
                <w:sz w:val="20"/>
                <w:szCs w:val="20"/>
                <w:color w:val="auto"/>
              </w:rPr>
            </w:pPr>
            <w:r>
              <w:rPr>
                <w:rFonts w:ascii="Arial" w:cs="Arial" w:eastAsia="Arial" w:hAnsi="Arial"/>
                <w:sz w:val="14"/>
                <w:szCs w:val="14"/>
                <w:color w:val="auto"/>
              </w:rPr>
              <w:t>Operating leases</w:t>
            </w:r>
          </w:p>
        </w:tc>
        <w:tc>
          <w:tcPr>
            <w:tcW w:w="3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7%</w:t>
            </w:r>
          </w:p>
        </w:tc>
      </w:tr>
    </w:tbl>
    <w:p>
      <w:pPr>
        <w:spacing w:after="0" w:line="132" w:lineRule="exact"/>
        <w:rPr>
          <w:sz w:val="20"/>
          <w:szCs w:val="20"/>
          <w:color w:val="auto"/>
        </w:rPr>
      </w:pPr>
    </w:p>
    <w:p>
      <w:pPr>
        <w:ind w:right="600" w:firstLine="561"/>
        <w:spacing w:after="0" w:line="263" w:lineRule="auto"/>
        <w:rPr>
          <w:sz w:val="20"/>
          <w:szCs w:val="20"/>
          <w:color w:val="auto"/>
        </w:rPr>
      </w:pPr>
      <w:r>
        <w:rPr>
          <w:rFonts w:ascii="Arial" w:cs="Arial" w:eastAsia="Arial" w:hAnsi="Arial"/>
          <w:sz w:val="16"/>
          <w:szCs w:val="16"/>
          <w:color w:val="auto"/>
        </w:rPr>
        <w:t>Future minimum lease payments under non-cancellable operating leases (with an initial or remaining lease terms in excess of one year) are as follows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Year ending December 31: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As of June 30, 2020</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As of December 31, 2019</w:t>
            </w:r>
          </w:p>
        </w:tc>
      </w:tr>
      <w:tr>
        <w:trPr>
          <w:trHeight w:val="191"/>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2020 (remaining six months for June 30, 2020)</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3,593</w:t>
            </w:r>
          </w:p>
        </w:tc>
        <w:tc>
          <w:tcPr>
            <w:tcW w:w="12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51"/>
              <w:spacing w:after="0"/>
              <w:rPr>
                <w:sz w:val="20"/>
                <w:szCs w:val="20"/>
                <w:color w:val="auto"/>
              </w:rPr>
            </w:pPr>
            <w:r>
              <w:rPr>
                <w:rFonts w:ascii="Arial" w:cs="Arial" w:eastAsia="Arial" w:hAnsi="Arial"/>
                <w:sz w:val="14"/>
                <w:szCs w:val="14"/>
                <w:color w:val="auto"/>
              </w:rPr>
              <w:t>7,787</w:t>
            </w:r>
          </w:p>
        </w:tc>
      </w:tr>
      <w:tr>
        <w:trPr>
          <w:trHeight w:val="28"/>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4"/>
        </w:trPr>
        <w:tc>
          <w:tcPr>
            <w:tcW w:w="7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15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6,707</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8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6,530</w:t>
            </w:r>
          </w:p>
        </w:tc>
      </w:tr>
      <w:tr>
        <w:trPr>
          <w:trHeight w:val="206"/>
        </w:trPr>
        <w:tc>
          <w:tcPr>
            <w:tcW w:w="720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3,959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ind w:right="51"/>
              <w:spacing w:after="0"/>
              <w:rPr>
                <w:sz w:val="20"/>
                <w:szCs w:val="20"/>
                <w:color w:val="auto"/>
              </w:rPr>
            </w:pPr>
            <w:r>
              <w:rPr>
                <w:rFonts w:ascii="Arial" w:cs="Arial" w:eastAsia="Arial" w:hAnsi="Arial"/>
                <w:sz w:val="14"/>
                <w:szCs w:val="14"/>
                <w:color w:val="auto"/>
              </w:rPr>
              <w:t>3,746</w:t>
            </w:r>
          </w:p>
        </w:tc>
      </w:tr>
      <w:tr>
        <w:trPr>
          <w:trHeight w:val="28"/>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4"/>
        </w:trPr>
        <w:tc>
          <w:tcPr>
            <w:tcW w:w="7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15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2,110</w:t>
            </w:r>
          </w:p>
        </w:tc>
        <w:tc>
          <w:tcPr>
            <w:tcW w:w="1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18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1,925</w:t>
            </w:r>
          </w:p>
        </w:tc>
      </w:tr>
      <w:tr>
        <w:trPr>
          <w:trHeight w:val="206"/>
        </w:trPr>
        <w:tc>
          <w:tcPr>
            <w:tcW w:w="720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1,336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ind w:right="51"/>
              <w:spacing w:after="0"/>
              <w:rPr>
                <w:sz w:val="20"/>
                <w:szCs w:val="20"/>
                <w:color w:val="auto"/>
              </w:rPr>
            </w:pPr>
            <w:r>
              <w:rPr>
                <w:rFonts w:ascii="Arial" w:cs="Arial" w:eastAsia="Arial" w:hAnsi="Arial"/>
                <w:sz w:val="14"/>
                <w:szCs w:val="14"/>
                <w:color w:val="auto"/>
              </w:rPr>
              <w:t>1,148</w:t>
            </w:r>
          </w:p>
        </w:tc>
      </w:tr>
      <w:tr>
        <w:trPr>
          <w:trHeight w:val="28"/>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4"/>
        </w:trPr>
        <w:tc>
          <w:tcPr>
            <w:tcW w:w="732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CCFFCC"/>
            </w:tcBorders>
            <w:shd w:val="clear" w:color="auto" w:fill="CCFFCC"/>
          </w:tcPr>
          <w:p>
            <w:pPr>
              <w:spacing w:after="0"/>
              <w:rPr>
                <w:sz w:val="20"/>
                <w:szCs w:val="20"/>
                <w:color w:val="auto"/>
              </w:rPr>
            </w:pPr>
          </w:p>
        </w:tc>
        <w:tc>
          <w:tcPr>
            <w:tcW w:w="15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1,196</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800" w:type="dxa"/>
            <w:vAlign w:val="bottom"/>
            <w:tcBorders>
              <w:bottom w:val="single" w:sz="8" w:color="CCFFCC"/>
            </w:tcBorders>
            <w:shd w:val="clear" w:color="auto" w:fill="CCFFCC"/>
          </w:tcPr>
          <w:p>
            <w:pPr>
              <w:jc w:val="right"/>
              <w:ind w:right="51"/>
              <w:spacing w:after="0"/>
              <w:rPr>
                <w:sz w:val="20"/>
                <w:szCs w:val="20"/>
                <w:color w:val="auto"/>
              </w:rPr>
            </w:pPr>
            <w:r>
              <w:rPr>
                <w:rFonts w:ascii="Arial" w:cs="Arial" w:eastAsia="Arial" w:hAnsi="Arial"/>
                <w:sz w:val="14"/>
                <w:szCs w:val="14"/>
                <w:color w:val="auto"/>
              </w:rPr>
              <w:t>864</w:t>
            </w:r>
          </w:p>
        </w:tc>
      </w:tr>
      <w:tr>
        <w:trPr>
          <w:trHeight w:val="186"/>
        </w:trPr>
        <w:tc>
          <w:tcPr>
            <w:tcW w:w="7320" w:type="dxa"/>
            <w:vAlign w:val="bottom"/>
            <w:gridSpan w:val="2"/>
          </w:tcPr>
          <w:p>
            <w:pPr>
              <w:ind w:left="160"/>
              <w:spacing w:after="0"/>
              <w:rPr>
                <w:sz w:val="20"/>
                <w:szCs w:val="20"/>
                <w:color w:val="auto"/>
              </w:rPr>
            </w:pPr>
            <w:r>
              <w:rPr>
                <w:rFonts w:ascii="Arial" w:cs="Arial" w:eastAsia="Arial" w:hAnsi="Arial"/>
                <w:sz w:val="14"/>
                <w:szCs w:val="14"/>
                <w:color w:val="auto"/>
              </w:rPr>
              <w:t>Total undiscounted lease payments</w:t>
            </w: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18,901</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22,000</w:t>
            </w:r>
          </w:p>
        </w:tc>
      </w:tr>
      <w:tr>
        <w:trPr>
          <w:trHeight w:val="28"/>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4"/>
        </w:trPr>
        <w:tc>
          <w:tcPr>
            <w:tcW w:w="732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4"/>
                <w:szCs w:val="14"/>
                <w:color w:val="auto"/>
              </w:rPr>
              <w:t>Less: present value adjustment</w:t>
            </w:r>
          </w:p>
        </w:tc>
        <w:tc>
          <w:tcPr>
            <w:tcW w:w="240" w:type="dxa"/>
            <w:vAlign w:val="bottom"/>
            <w:tcBorders>
              <w:bottom w:val="single" w:sz="8" w:color="CCFFCC"/>
            </w:tcBorders>
            <w:shd w:val="clear" w:color="auto" w:fill="CCFFCC"/>
          </w:tcPr>
          <w:p>
            <w:pPr>
              <w:spacing w:after="0"/>
              <w:rPr>
                <w:sz w:val="20"/>
                <w:szCs w:val="20"/>
                <w:color w:val="auto"/>
              </w:rPr>
            </w:pPr>
          </w:p>
        </w:tc>
        <w:tc>
          <w:tcPr>
            <w:tcW w:w="1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(1,980)</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(2,533)</w:t>
            </w:r>
          </w:p>
        </w:tc>
      </w:tr>
      <w:tr>
        <w:trPr>
          <w:trHeight w:val="205"/>
        </w:trPr>
        <w:tc>
          <w:tcPr>
            <w:tcW w:w="7320" w:type="dxa"/>
            <w:vAlign w:val="bottom"/>
            <w:gridSpan w:val="2"/>
          </w:tcPr>
          <w:p>
            <w:pPr>
              <w:ind w:left="160"/>
              <w:spacing w:after="0"/>
              <w:rPr>
                <w:sz w:val="20"/>
                <w:szCs w:val="20"/>
                <w:color w:val="auto"/>
              </w:rPr>
            </w:pPr>
            <w:r>
              <w:rPr>
                <w:rFonts w:ascii="Arial" w:cs="Arial" w:eastAsia="Arial" w:hAnsi="Arial"/>
                <w:sz w:val="14"/>
                <w:szCs w:val="14"/>
                <w:color w:val="auto"/>
              </w:rPr>
              <w:t>Total operating lease liability</w:t>
            </w: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16,921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19,467</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Benefit Plans</w:t>
      </w:r>
    </w:p>
    <w:p>
      <w:pPr>
        <w:spacing w:after="0" w:line="96" w:lineRule="exact"/>
        <w:rPr>
          <w:sz w:val="20"/>
          <w:szCs w:val="20"/>
          <w:color w:val="auto"/>
        </w:rPr>
      </w:pPr>
    </w:p>
    <w:p>
      <w:pPr>
        <w:jc w:val="both"/>
        <w:ind w:right="20" w:firstLine="561"/>
        <w:spacing w:after="0" w:line="306" w:lineRule="auto"/>
        <w:rPr>
          <w:sz w:val="20"/>
          <w:szCs w:val="20"/>
          <w:color w:val="auto"/>
        </w:rPr>
      </w:pPr>
      <w:r>
        <w:rPr>
          <w:rFonts w:ascii="Arial" w:cs="Arial" w:eastAsia="Arial" w:hAnsi="Arial"/>
          <w:sz w:val="14"/>
          <w:szCs w:val="14"/>
          <w:color w:val="auto"/>
        </w:rPr>
        <w:t>In 2019, the Company's 401(k) policy was changed to a Safe Harbor Plan, whereby the Company matches 100% of the first 3% of eligible compensation and 50% of the next 2% of eligible compensation. Furthermore, the match is immediately vested. Salaries and related expenses include $0.8 million of employer matching contributions for the three months ended June 30, 2020 and 2019, and $1.7 million and $1.8 million for the six months ended June 30, 2020 and 2019,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Letters of Credit</w:t>
      </w:r>
    </w:p>
    <w:p>
      <w:pPr>
        <w:spacing w:after="0" w:line="96" w:lineRule="exact"/>
        <w:rPr>
          <w:sz w:val="20"/>
          <w:szCs w:val="20"/>
          <w:color w:val="auto"/>
        </w:rPr>
      </w:pPr>
    </w:p>
    <w:p>
      <w:pPr>
        <w:jc w:val="both"/>
        <w:ind w:right="20" w:firstLine="561"/>
        <w:spacing w:after="0" w:line="253" w:lineRule="auto"/>
        <w:rPr>
          <w:sz w:val="20"/>
          <w:szCs w:val="20"/>
          <w:color w:val="auto"/>
        </w:rPr>
      </w:pPr>
      <w:r>
        <w:rPr>
          <w:rFonts w:ascii="Arial" w:cs="Arial" w:eastAsia="Arial" w:hAnsi="Arial"/>
          <w:sz w:val="16"/>
          <w:szCs w:val="16"/>
          <w:color w:val="auto"/>
        </w:rPr>
        <w:t>As of June 30, 2020, the Company has a $1.8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six months ended June 30, 2020.</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 Income Tax Matters</w:t>
      </w:r>
    </w:p>
    <w:p>
      <w:pPr>
        <w:spacing w:after="0" w:line="96" w:lineRule="exact"/>
        <w:rPr>
          <w:sz w:val="20"/>
          <w:szCs w:val="20"/>
          <w:color w:val="auto"/>
        </w:rPr>
      </w:pPr>
    </w:p>
    <w:p>
      <w:pPr>
        <w:jc w:val="both"/>
        <w:ind w:right="20" w:firstLine="561"/>
        <w:spacing w:after="0" w:line="253" w:lineRule="auto"/>
        <w:rPr>
          <w:sz w:val="20"/>
          <w:szCs w:val="20"/>
          <w:color w:val="auto"/>
        </w:rPr>
      </w:pPr>
      <w:r>
        <w:rPr>
          <w:rFonts w:ascii="Arial" w:cs="Arial" w:eastAsia="Arial" w:hAnsi="Arial"/>
          <w:sz w:val="16"/>
          <w:szCs w:val="16"/>
          <w:color w:val="auto"/>
        </w:rPr>
        <w:t>The Company is in the process of finalizing its sales tax liability analysis for states in which it has economic nexus. It is probable that the Company will be subject to sales tax liabilities plus interest in these states and therefore the estimated tax liability ranges between $2.5 million to $6.3 million with no amount within that range a better estimate than any other amount; accordingly, $2.5 million was accrued as of June 30, 2020.</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320" w:top="170"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Pandemic</w:t>
      </w:r>
    </w:p>
    <w:p>
      <w:pPr>
        <w:spacing w:after="0" w:line="307"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In December 2019, a novel coronavirus disease (“COVID-19”) was first reported. On March 11, 2020, due to worldwide spread of the virus, the World Health Organization characterized COVID-19 as a pandemic. The COVID-19 global pandemic has resulted in a widespread health crisis, and the resulting impact on governments, businesses and individuals and actions taken by them in response to the situation have resulted in widespread economic disruptions, significantly affecting broader economies, financial markets, and overall demand for the Company’s products. The COVID-19 outbreak also has caused increased uncertainty in estimates and assumptions affecting the reported amounts of assets and liabilities, and the disclosure of contingent assets and liabilities in the Company’s Condensed Consolidated Financial Statements as the extent and period of recovery from the COVID-19 outbreak and related economic disruption is difficult to forecast.</w:t>
      </w:r>
    </w:p>
    <w:p>
      <w:pPr>
        <w:spacing w:after="0" w:line="145" w:lineRule="exact"/>
        <w:rPr>
          <w:sz w:val="20"/>
          <w:szCs w:val="20"/>
          <w:color w:val="auto"/>
        </w:rPr>
      </w:pPr>
    </w:p>
    <w:p>
      <w:pPr>
        <w:jc w:val="both"/>
        <w:ind w:firstLine="561"/>
        <w:spacing w:after="0" w:line="246" w:lineRule="auto"/>
        <w:rPr>
          <w:sz w:val="20"/>
          <w:szCs w:val="20"/>
          <w:color w:val="auto"/>
        </w:rPr>
      </w:pPr>
      <w:r>
        <w:rPr>
          <w:rFonts w:ascii="Arial" w:cs="Arial" w:eastAsia="Arial" w:hAnsi="Arial"/>
          <w:sz w:val="16"/>
          <w:szCs w:val="16"/>
          <w:color w:val="auto"/>
        </w:rPr>
        <w:t>The extent to which COVID-19 impacts the Company’s business and financial results will depend on numerous evolving factors including, but not limited to, the magnitude and duration of COVID-19, the extent to which it will impact worldwide macroeconomic conditions,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The accounting matters assessed included, but were not limited to, the Company’s allowance for credit losses and the carrying value of the goodwill and other long-lived assets. While there was not any significant impact to the Company’s consolidated financial statements as of and</w:t>
      </w:r>
    </w:p>
    <w:p>
      <w:pPr>
        <w:spacing w:after="0" w:line="2"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for the six months ended June 30, 2020, the Company’s future assessment of the magnitude and duration of COVID-19, as well as other factors, could result in material impacts to the Company’s consolidated financial statements in future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96" w:lineRule="exact"/>
        <w:rPr>
          <w:sz w:val="20"/>
          <w:szCs w:val="20"/>
          <w:color w:val="auto"/>
        </w:rPr>
      </w:pPr>
    </w:p>
    <w:p>
      <w:pPr>
        <w:jc w:val="both"/>
        <w:ind w:right="20" w:firstLine="561"/>
        <w:spacing w:after="0" w:line="375" w:lineRule="auto"/>
        <w:rPr>
          <w:sz w:val="20"/>
          <w:szCs w:val="20"/>
          <w:color w:val="auto"/>
        </w:rPr>
      </w:pPr>
      <w:r>
        <w:rPr>
          <w:rFonts w:ascii="Arial" w:cs="Arial" w:eastAsia="Arial" w:hAnsi="Arial"/>
          <w:sz w:val="13"/>
          <w:szCs w:val="13"/>
          <w:color w:val="auto"/>
        </w:rPr>
        <w:t>As of June 30, 2020, there were 200,000,000 shares of common stock authorized, 68,731,477 shares issued, and 66,021,647 shares outstanding. As of December 31, 2019, there were 200,000,000 shares of common stock authorized, 66,543,073 shares issued and 63,833,243 shares outstanding. The par value for common shares is $0.001 per share.</w:t>
      </w:r>
    </w:p>
    <w:p>
      <w:pPr>
        <w:jc w:val="both"/>
        <w:ind w:right="20" w:firstLine="561"/>
        <w:spacing w:after="0" w:line="306" w:lineRule="auto"/>
        <w:rPr>
          <w:sz w:val="20"/>
          <w:szCs w:val="20"/>
          <w:color w:val="auto"/>
        </w:rPr>
      </w:pPr>
      <w:r>
        <w:rPr>
          <w:rFonts w:ascii="Arial" w:cs="Arial" w:eastAsia="Arial" w:hAnsi="Arial"/>
          <w:sz w:val="14"/>
          <w:szCs w:val="14"/>
          <w:color w:val="auto"/>
        </w:rPr>
        <w:t>On June 6, 2019, the Company’s stockholders approved an amendment to the Company’s certificate of incorporation to increase the number of shares of our common stock that the Company is authorized to issue from 100,000,000 to 200,000,000 shares. On November 12, 2019, the Company filed a charter amendment with the State of Delaware to effectuate the increase in the number of shares of the Company’s common stock that the Company is authorized to issue.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96"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auto"/>
        </w:rPr>
        <w:t>As of June 30, 2020 and December 31, 2019, there were 5,000,000 shares of preferred stock authorized, and zero shares issued and outstanding. The par value for preferred shares is $0.001 per share.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Repurchase Program</w:t>
      </w:r>
    </w:p>
    <w:p>
      <w:pPr>
        <w:spacing w:after="0" w:line="96"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depended on a variety of factors including the timing of open trading windows, price, corporate and regulatory requirements and other market conditions. The program was discontinued at the end of 2018. The Company may or may not enter into a new stock repurchase program in the future.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170"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6" w:lineRule="exact"/>
        <w:rPr>
          <w:sz w:val="20"/>
          <w:szCs w:val="20"/>
          <w:color w:val="auto"/>
        </w:rPr>
      </w:pPr>
    </w:p>
    <w:p>
      <w:pPr>
        <w:jc w:val="both"/>
        <w:ind w:right="20" w:firstLine="561"/>
        <w:spacing w:after="0" w:line="250" w:lineRule="auto"/>
        <w:rPr>
          <w:sz w:val="20"/>
          <w:szCs w:val="20"/>
          <w:color w:val="auto"/>
        </w:rPr>
      </w:pPr>
      <w:r>
        <w:rPr>
          <w:rFonts w:ascii="Arial" w:cs="Arial" w:eastAsia="Arial" w:hAnsi="Arial"/>
          <w:sz w:val="16"/>
          <w:szCs w:val="16"/>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Incremental compensation costs arising from subsequent modifications of awards after the grant date must be recognized.</w:t>
      </w:r>
    </w:p>
    <w:p>
      <w:pPr>
        <w:spacing w:after="0" w:line="74"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 Effective January 1, 2020, the Company changed its forfeiture rate estimate which resulted in an increase in stock compensation expense of $2.3 million as of March 31, 2020.</w:t>
      </w:r>
    </w:p>
    <w:p>
      <w:pPr>
        <w:spacing w:after="0" w:line="168" w:lineRule="exact"/>
        <w:rPr>
          <w:sz w:val="20"/>
          <w:szCs w:val="20"/>
          <w:color w:val="auto"/>
        </w:rPr>
      </w:pPr>
    </w:p>
    <w:p>
      <w:pPr>
        <w:jc w:val="both"/>
        <w:ind w:right="20" w:firstLine="561"/>
        <w:spacing w:after="0" w:line="306" w:lineRule="auto"/>
        <w:rPr>
          <w:sz w:val="20"/>
          <w:szCs w:val="20"/>
          <w:color w:val="auto"/>
        </w:rPr>
      </w:pPr>
      <w:r>
        <w:rPr>
          <w:rFonts w:ascii="Arial" w:cs="Arial" w:eastAsia="Arial" w:hAnsi="Arial"/>
          <w:sz w:val="14"/>
          <w:szCs w:val="14"/>
          <w:color w:val="auto"/>
        </w:rPr>
        <w:t>The per share weighted average fair value of stock options granted was $12.36 and $11.74 during the three months ended June 30, 2020 and 2019, respectively. The per share weighted average fair value of stock options granted was $12.25 and $11.28 during the six months ended June 30, 2020 and 2019, respectively The fair value of each option grant is estimated on the date of grant, adjusted for estimated forfeitures, using the Black-Scholes option-pricing model with the following weighted average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60" w:type="dxa"/>
            <w:vAlign w:val="bottom"/>
          </w:tcPr>
          <w:p>
            <w:pPr>
              <w:spacing w:after="0"/>
              <w:rPr>
                <w:sz w:val="14"/>
                <w:szCs w:val="14"/>
                <w:color w:val="auto"/>
              </w:rPr>
            </w:pPr>
          </w:p>
        </w:tc>
        <w:tc>
          <w:tcPr>
            <w:tcW w:w="2500" w:type="dxa"/>
            <w:vAlign w:val="bottom"/>
            <w:tcBorders>
              <w:bottom w:val="single" w:sz="8" w:color="auto"/>
            </w:tcBorders>
            <w:gridSpan w:val="4"/>
          </w:tcPr>
          <w:p>
            <w:pPr>
              <w:ind w:left="820"/>
              <w:spacing w:after="0"/>
              <w:rPr>
                <w:sz w:val="20"/>
                <w:szCs w:val="20"/>
                <w:color w:val="auto"/>
              </w:rPr>
            </w:pPr>
            <w:r>
              <w:rPr>
                <w:rFonts w:ascii="Arial" w:cs="Arial" w:eastAsia="Arial" w:hAnsi="Arial"/>
                <w:sz w:val="12"/>
                <w:szCs w:val="12"/>
                <w:b w:val="1"/>
                <w:bCs w:val="1"/>
                <w:color w:val="auto"/>
                <w:w w:val="97"/>
              </w:rPr>
              <w:t>Three Months Ended June 30,</w:t>
            </w:r>
          </w:p>
        </w:tc>
        <w:tc>
          <w:tcPr>
            <w:tcW w:w="7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ind w:left="900"/>
              <w:spacing w:after="0"/>
              <w:rPr>
                <w:sz w:val="20"/>
                <w:szCs w:val="20"/>
                <w:color w:val="auto"/>
              </w:rPr>
            </w:pPr>
            <w:r>
              <w:rPr>
                <w:rFonts w:ascii="Arial" w:cs="Arial" w:eastAsia="Arial" w:hAnsi="Arial"/>
                <w:sz w:val="12"/>
                <w:szCs w:val="12"/>
                <w:b w:val="1"/>
                <w:bCs w:val="1"/>
                <w:color w:val="auto"/>
                <w:w w:val="93"/>
              </w:rPr>
              <w:t>Six Months Ended June 30,</w:t>
            </w:r>
          </w:p>
        </w:tc>
        <w:tc>
          <w:tcPr>
            <w:tcW w:w="800" w:type="dxa"/>
            <w:vAlign w:val="bottom"/>
            <w:tcBorders>
              <w:bottom w:val="single" w:sz="8" w:color="auto"/>
            </w:tcBorders>
          </w:tcPr>
          <w:p>
            <w:pPr>
              <w:spacing w:after="0"/>
              <w:rPr>
                <w:sz w:val="14"/>
                <w:szCs w:val="14"/>
                <w:color w:val="auto"/>
              </w:rPr>
            </w:pPr>
          </w:p>
        </w:tc>
      </w:tr>
      <w:tr>
        <w:trPr>
          <w:trHeight w:val="225"/>
        </w:trPr>
        <w:tc>
          <w:tcPr>
            <w:tcW w:w="466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2020</w:t>
            </w:r>
          </w:p>
        </w:tc>
        <w:tc>
          <w:tcPr>
            <w:tcW w:w="100" w:type="dxa"/>
            <w:vAlign w:val="bottom"/>
          </w:tcPr>
          <w:p>
            <w:pPr>
              <w:spacing w:after="0"/>
              <w:rPr>
                <w:sz w:val="19"/>
                <w:szCs w:val="19"/>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7"/>
              </w:rPr>
              <w:t>2019</w:t>
            </w:r>
          </w:p>
        </w:tc>
        <w:tc>
          <w:tcPr>
            <w:tcW w:w="1400" w:type="dxa"/>
            <w:vAlign w:val="bottom"/>
            <w:tcBorders>
              <w:bottom w:val="single" w:sz="8" w:color="auto"/>
            </w:tcBorders>
          </w:tcPr>
          <w:p>
            <w:pPr>
              <w:jc w:val="center"/>
              <w:ind w:left="13"/>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9"/>
                <w:szCs w:val="19"/>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9"/>
              </w:rPr>
              <w:t>2019</w:t>
            </w:r>
          </w:p>
        </w:tc>
      </w:tr>
      <w:tr>
        <w:trPr>
          <w:trHeight w:val="203"/>
        </w:trPr>
        <w:tc>
          <w:tcPr>
            <w:tcW w:w="46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0.0%</w:t>
            </w:r>
          </w:p>
        </w:tc>
        <w:tc>
          <w:tcPr>
            <w:tcW w:w="100" w:type="dxa"/>
            <w:vAlign w:val="bottom"/>
          </w:tcPr>
          <w:p>
            <w:pPr>
              <w:spacing w:after="0"/>
              <w:rPr>
                <w:sz w:val="17"/>
                <w:szCs w:val="17"/>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color w:val="auto"/>
                <w:w w:val="93"/>
              </w:rPr>
              <w:t>0.0%</w:t>
            </w:r>
          </w:p>
        </w:tc>
        <w:tc>
          <w:tcPr>
            <w:tcW w:w="1400" w:type="dxa"/>
            <w:vAlign w:val="bottom"/>
          </w:tcPr>
          <w:p>
            <w:pPr>
              <w:jc w:val="center"/>
              <w:ind w:left="13"/>
              <w:spacing w:after="0"/>
              <w:rPr>
                <w:sz w:val="20"/>
                <w:szCs w:val="20"/>
                <w:color w:val="auto"/>
              </w:rPr>
            </w:pPr>
            <w:r>
              <w:rPr>
                <w:rFonts w:ascii="Arial" w:cs="Arial" w:eastAsia="Arial" w:hAnsi="Arial"/>
                <w:sz w:val="14"/>
                <w:szCs w:val="14"/>
                <w:color w:val="auto"/>
                <w:w w:val="87"/>
              </w:rPr>
              <w:t>0.0%</w:t>
            </w:r>
          </w:p>
        </w:tc>
        <w:tc>
          <w:tcPr>
            <w:tcW w:w="120" w:type="dxa"/>
            <w:vAlign w:val="bottom"/>
          </w:tcPr>
          <w:p>
            <w:pPr>
              <w:spacing w:after="0"/>
              <w:rPr>
                <w:sz w:val="17"/>
                <w:szCs w:val="17"/>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color w:val="auto"/>
                <w:w w:val="87"/>
              </w:rPr>
              <w:t>0.0%</w:t>
            </w:r>
          </w:p>
        </w:tc>
      </w:tr>
      <w:tr>
        <w:trPr>
          <w:trHeight w:val="28"/>
        </w:trPr>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4"/>
        </w:trPr>
        <w:tc>
          <w:tcPr>
            <w:tcW w:w="4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Risk-free interest rate</w:t>
            </w:r>
          </w:p>
        </w:tc>
        <w:tc>
          <w:tcPr>
            <w:tcW w:w="15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4"/>
                <w:szCs w:val="14"/>
                <w:color w:val="auto"/>
                <w:w w:val="92"/>
              </w:rPr>
              <w:t>0.31%-0.32%</w:t>
            </w:r>
          </w:p>
        </w:tc>
        <w:tc>
          <w:tcPr>
            <w:tcW w:w="10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2.36%</w:t>
            </w:r>
          </w:p>
        </w:tc>
        <w:tc>
          <w:tcPr>
            <w:tcW w:w="1400" w:type="dxa"/>
            <w:vAlign w:val="bottom"/>
            <w:tcBorders>
              <w:bottom w:val="single" w:sz="8" w:color="CCFFCC"/>
            </w:tcBorders>
            <w:shd w:val="clear" w:color="auto" w:fill="CCFFCC"/>
          </w:tcPr>
          <w:p>
            <w:pPr>
              <w:jc w:val="center"/>
              <w:ind w:left="13"/>
              <w:spacing w:after="0"/>
              <w:rPr>
                <w:sz w:val="20"/>
                <w:szCs w:val="20"/>
                <w:color w:val="auto"/>
              </w:rPr>
            </w:pPr>
            <w:r>
              <w:rPr>
                <w:rFonts w:ascii="Arial" w:cs="Arial" w:eastAsia="Arial" w:hAnsi="Arial"/>
                <w:sz w:val="14"/>
                <w:szCs w:val="14"/>
                <w:color w:val="auto"/>
                <w:w w:val="90"/>
              </w:rPr>
              <w:t>0.31%-0.66%</w:t>
            </w:r>
          </w:p>
        </w:tc>
        <w:tc>
          <w:tcPr>
            <w:tcW w:w="12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2.57%</w:t>
            </w:r>
          </w:p>
        </w:tc>
      </w:tr>
      <w:tr>
        <w:trPr>
          <w:trHeight w:val="206"/>
        </w:trPr>
        <w:tc>
          <w:tcPr>
            <w:tcW w:w="4660" w:type="dxa"/>
            <w:vAlign w:val="bottom"/>
          </w:tcPr>
          <w:p>
            <w:pPr>
              <w:ind w:left="20"/>
              <w:spacing w:after="0"/>
              <w:rPr>
                <w:sz w:val="20"/>
                <w:szCs w:val="20"/>
                <w:color w:val="auto"/>
              </w:rPr>
            </w:pPr>
            <w:r>
              <w:rPr>
                <w:rFonts w:ascii="Arial" w:cs="Arial" w:eastAsia="Arial" w:hAnsi="Arial"/>
                <w:sz w:val="14"/>
                <w:szCs w:val="14"/>
                <w:color w:val="auto"/>
              </w:rPr>
              <w:t>Expected life (in years)</w:t>
            </w:r>
          </w:p>
        </w:tc>
        <w:tc>
          <w:tcPr>
            <w:tcW w:w="158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760" w:type="dxa"/>
            <w:vAlign w:val="bottom"/>
          </w:tcPr>
          <w:p>
            <w:pPr>
              <w:spacing w:after="0"/>
              <w:rPr>
                <w:sz w:val="17"/>
                <w:szCs w:val="17"/>
                <w:color w:val="auto"/>
              </w:rPr>
            </w:pPr>
          </w:p>
        </w:tc>
        <w:tc>
          <w:tcPr>
            <w:tcW w:w="1400" w:type="dxa"/>
            <w:vAlign w:val="bottom"/>
          </w:tcPr>
          <w:p>
            <w:pPr>
              <w:jc w:val="center"/>
              <w:ind w:left="13"/>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Arial" w:cs="Arial" w:eastAsia="Arial" w:hAnsi="Arial"/>
                <w:sz w:val="14"/>
                <w:szCs w:val="14"/>
                <w:color w:val="auto"/>
              </w:rPr>
              <w:t>5</w:t>
            </w:r>
          </w:p>
        </w:tc>
        <w:tc>
          <w:tcPr>
            <w:tcW w:w="800" w:type="dxa"/>
            <w:vAlign w:val="bottom"/>
          </w:tcPr>
          <w:p>
            <w:pPr>
              <w:spacing w:after="0"/>
              <w:rPr>
                <w:sz w:val="17"/>
                <w:szCs w:val="17"/>
                <w:color w:val="auto"/>
              </w:rPr>
            </w:pPr>
          </w:p>
        </w:tc>
      </w:tr>
      <w:tr>
        <w:trPr>
          <w:trHeight w:val="28"/>
        </w:trPr>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6"/>
        </w:trPr>
        <w:tc>
          <w:tcPr>
            <w:tcW w:w="4660" w:type="dxa"/>
            <w:vAlign w:val="bottom"/>
            <w:shd w:val="clear" w:color="auto" w:fill="CCFFCC"/>
          </w:tcPr>
          <w:p>
            <w:pPr>
              <w:ind w:left="20"/>
              <w:spacing w:after="0"/>
              <w:rPr>
                <w:sz w:val="20"/>
                <w:szCs w:val="20"/>
                <w:color w:val="auto"/>
              </w:rPr>
            </w:pPr>
            <w:r>
              <w:rPr>
                <w:rFonts w:ascii="Arial" w:cs="Arial" w:eastAsia="Arial" w:hAnsi="Arial"/>
                <w:sz w:val="14"/>
                <w:szCs w:val="14"/>
                <w:color w:val="auto"/>
              </w:rPr>
              <w:t>Historical volatility</w:t>
            </w:r>
          </w:p>
        </w:tc>
        <w:tc>
          <w:tcPr>
            <w:tcW w:w="15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0"/>
              </w:rPr>
              <w:t>51.91%-51.94%</w:t>
            </w: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43.42%</w:t>
            </w:r>
          </w:p>
        </w:tc>
        <w:tc>
          <w:tcPr>
            <w:tcW w:w="10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4"/>
              </w:rPr>
              <w:t>-</w:t>
            </w:r>
          </w:p>
        </w:tc>
        <w:tc>
          <w:tcPr>
            <w:tcW w:w="760" w:type="dxa"/>
            <w:vAlign w:val="bottom"/>
            <w:shd w:val="clear" w:color="auto" w:fill="CCFFCC"/>
          </w:tcPr>
          <w:p>
            <w:pPr>
              <w:ind w:left="20"/>
              <w:spacing w:after="0"/>
              <w:rPr>
                <w:sz w:val="20"/>
                <w:szCs w:val="20"/>
                <w:color w:val="auto"/>
              </w:rPr>
            </w:pPr>
            <w:r>
              <w:rPr>
                <w:rFonts w:ascii="Arial" w:cs="Arial" w:eastAsia="Arial" w:hAnsi="Arial"/>
                <w:sz w:val="14"/>
                <w:szCs w:val="14"/>
                <w:color w:val="auto"/>
              </w:rPr>
              <w:t>43.69%</w:t>
            </w:r>
          </w:p>
        </w:tc>
        <w:tc>
          <w:tcPr>
            <w:tcW w:w="1400" w:type="dxa"/>
            <w:vAlign w:val="bottom"/>
            <w:shd w:val="clear" w:color="auto" w:fill="CCFFCC"/>
          </w:tcPr>
          <w:p>
            <w:pPr>
              <w:jc w:val="center"/>
              <w:ind w:left="13"/>
              <w:spacing w:after="0"/>
              <w:rPr>
                <w:sz w:val="20"/>
                <w:szCs w:val="20"/>
                <w:color w:val="auto"/>
              </w:rPr>
            </w:pPr>
            <w:r>
              <w:rPr>
                <w:rFonts w:ascii="Arial" w:cs="Arial" w:eastAsia="Arial" w:hAnsi="Arial"/>
                <w:sz w:val="14"/>
                <w:szCs w:val="14"/>
                <w:color w:val="auto"/>
                <w:w w:val="91"/>
              </w:rPr>
              <w:t>46.5%-51.94%</w:t>
            </w: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43.42%</w:t>
            </w:r>
          </w:p>
        </w:tc>
        <w:tc>
          <w:tcPr>
            <w:tcW w:w="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4"/>
              </w:rPr>
              <w:t>-</w:t>
            </w:r>
          </w:p>
        </w:tc>
        <w:tc>
          <w:tcPr>
            <w:tcW w:w="800" w:type="dxa"/>
            <w:vAlign w:val="bottom"/>
            <w:shd w:val="clear" w:color="auto" w:fill="CCFFCC"/>
          </w:tcPr>
          <w:p>
            <w:pPr>
              <w:ind w:left="20"/>
              <w:spacing w:after="0"/>
              <w:rPr>
                <w:sz w:val="20"/>
                <w:szCs w:val="20"/>
                <w:color w:val="auto"/>
              </w:rPr>
            </w:pPr>
            <w:r>
              <w:rPr>
                <w:rFonts w:ascii="Arial" w:cs="Arial" w:eastAsia="Arial" w:hAnsi="Arial"/>
                <w:sz w:val="14"/>
                <w:szCs w:val="14"/>
                <w:color w:val="auto"/>
              </w:rPr>
              <w:t>43.85%</w:t>
            </w:r>
          </w:p>
        </w:tc>
      </w:tr>
      <w:tr>
        <w:trPr>
          <w:trHeight w:val="28"/>
        </w:trPr>
        <w:tc>
          <w:tcPr>
            <w:tcW w:w="4660" w:type="dxa"/>
            <w:vAlign w:val="bottom"/>
            <w:shd w:val="clear" w:color="auto" w:fill="CCFFCC"/>
          </w:tcPr>
          <w:p>
            <w:pPr>
              <w:spacing w:after="0"/>
              <w:rPr>
                <w:sz w:val="2"/>
                <w:szCs w:val="2"/>
                <w:color w:val="auto"/>
              </w:rPr>
            </w:pPr>
          </w:p>
        </w:tc>
        <w:tc>
          <w:tcPr>
            <w:tcW w:w="15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14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r>
    </w:tbl>
    <w:p>
      <w:pPr>
        <w:spacing w:after="0" w:line="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 compensation awards follows: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Dividend yield – </w:t>
      </w:r>
      <w:r>
        <w:rPr>
          <w:rFonts w:ascii="Arial" w:cs="Arial" w:eastAsia="Arial" w:hAnsi="Arial"/>
          <w:sz w:val="16"/>
          <w:szCs w:val="16"/>
          <w:color w:val="auto"/>
        </w:rPr>
        <w:t>The Company uses 0% as it has never issued dividends and does not anticipate issuing dividends in the near term.</w:t>
      </w:r>
    </w:p>
    <w:p>
      <w:pPr>
        <w:spacing w:after="0" w:line="96" w:lineRule="exact"/>
        <w:rPr>
          <w:sz w:val="20"/>
          <w:szCs w:val="20"/>
          <w:color w:val="auto"/>
        </w:rPr>
      </w:pPr>
    </w:p>
    <w:p>
      <w:pPr>
        <w:ind w:left="420"/>
        <w:spacing w:after="0" w:line="263" w:lineRule="auto"/>
        <w:rPr>
          <w:sz w:val="20"/>
          <w:szCs w:val="20"/>
          <w:color w:val="auto"/>
        </w:rPr>
      </w:pPr>
      <w:r>
        <w:rPr>
          <w:rFonts w:ascii="Arial" w:cs="Arial" w:eastAsia="Arial" w:hAnsi="Arial"/>
          <w:sz w:val="16"/>
          <w:szCs w:val="16"/>
          <w:i w:val="1"/>
          <w:iCs w:val="1"/>
          <w:color w:val="auto"/>
        </w:rPr>
        <w:t xml:space="preserve">Risk-free interest rate – </w:t>
      </w:r>
      <w:r>
        <w:rPr>
          <w:rFonts w:ascii="Arial" w:cs="Arial" w:eastAsia="Arial" w:hAnsi="Arial"/>
          <w:sz w:val="16"/>
          <w:szCs w:val="16"/>
          <w:color w:val="auto"/>
        </w:rPr>
        <w:t>The Company uses the market yield on U.S. Treasury securities at five years with constant maturity, representing the current expected life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in years.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Expected life – </w:t>
      </w:r>
      <w:r>
        <w:rPr>
          <w:rFonts w:ascii="Arial" w:cs="Arial" w:eastAsia="Arial" w:hAnsi="Arial"/>
          <w:sz w:val="16"/>
          <w:szCs w:val="16"/>
          <w:color w:val="auto"/>
        </w:rPr>
        <w:t>The Company uses historical data to estimate the expected life of a stock option.</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Historical volatility – </w:t>
      </w:r>
      <w:r>
        <w:rPr>
          <w:rFonts w:ascii="Arial" w:cs="Arial" w:eastAsia="Arial" w:hAnsi="Arial"/>
          <w:sz w:val="16"/>
          <w:szCs w:val="16"/>
          <w:color w:val="auto"/>
        </w:rPr>
        <w:t>The Company uses a trailing five year from grant date to determine volatility.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Plans</w:t>
      </w:r>
    </w:p>
    <w:p>
      <w:pPr>
        <w:spacing w:after="0" w:line="96" w:lineRule="exact"/>
        <w:rPr>
          <w:sz w:val="20"/>
          <w:szCs w:val="20"/>
          <w:color w:val="auto"/>
        </w:rPr>
      </w:pPr>
    </w:p>
    <w:p>
      <w:pPr>
        <w:jc w:val="both"/>
        <w:ind w:right="20" w:firstLine="561"/>
        <w:spacing w:after="0" w:line="297" w:lineRule="auto"/>
        <w:rPr>
          <w:sz w:val="20"/>
          <w:szCs w:val="20"/>
          <w:color w:val="auto"/>
        </w:rPr>
      </w:pPr>
      <w:r>
        <w:rPr>
          <w:rFonts w:ascii="Arial" w:cs="Arial" w:eastAsia="Arial" w:hAnsi="Arial"/>
          <w:sz w:val="14"/>
          <w:szCs w:val="14"/>
          <w:color w:val="auto"/>
        </w:rPr>
        <w:t>During 1998, the Company established the Stock Option and Restricted Stock Purchase Plan (the “1998 Plan”). Under the 1998 Plan, the Board of Directors could issue incentive stock options or nonqualified stock options or other equity-based awards in respect of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2000 Plan by approximately 4,150,000, thereby reserving for issuance 10,000,000 shares of common stock in the aggregate.</w:t>
      </w:r>
    </w:p>
    <w:p>
      <w:pPr>
        <w:spacing w:after="0" w:line="44" w:lineRule="exact"/>
        <w:rPr>
          <w:sz w:val="20"/>
          <w:szCs w:val="20"/>
          <w:color w:val="auto"/>
        </w:rPr>
      </w:pPr>
    </w:p>
    <w:p>
      <w:pPr>
        <w:jc w:val="both"/>
        <w:ind w:firstLine="561"/>
        <w:spacing w:after="0" w:line="292" w:lineRule="auto"/>
        <w:rPr>
          <w:sz w:val="20"/>
          <w:szCs w:val="20"/>
          <w:color w:val="auto"/>
        </w:rPr>
      </w:pPr>
      <w:r>
        <w:rPr>
          <w:rFonts w:ascii="Arial" w:cs="Arial" w:eastAsia="Arial" w:hAnsi="Arial"/>
          <w:sz w:val="14"/>
          <w:szCs w:val="14"/>
          <w:color w:val="auto"/>
        </w:rPr>
        <w:t>The Company established the 2009 Stock Incentive Plan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 On June 2, 2017, the Company's Board of Directors amended and restated the Amended 2009 Plan effective April 30, 2017. The amended and restated plan increased the number of shares authorized for issuance under the plan by an additional 4,000,000.</w:t>
      </w:r>
    </w:p>
    <w:p>
      <w:pPr>
        <w:spacing w:after="0" w:line="49" w:lineRule="exact"/>
        <w:rPr>
          <w:sz w:val="20"/>
          <w:szCs w:val="20"/>
          <w:color w:val="auto"/>
        </w:rPr>
      </w:pPr>
    </w:p>
    <w:p>
      <w:pPr>
        <w:jc w:val="both"/>
        <w:ind w:firstLine="561"/>
        <w:spacing w:after="0" w:line="306" w:lineRule="auto"/>
        <w:rPr>
          <w:sz w:val="20"/>
          <w:szCs w:val="20"/>
          <w:color w:val="auto"/>
        </w:rPr>
      </w:pPr>
      <w:r>
        <w:rPr>
          <w:rFonts w:ascii="Arial" w:cs="Arial" w:eastAsia="Arial" w:hAnsi="Arial"/>
          <w:sz w:val="14"/>
          <w:szCs w:val="14"/>
          <w:color w:val="auto"/>
        </w:rPr>
        <w:t>On April 11, 2019, the Company's Board of Directors adopted, and on June 6, 2019, the Company's stockholders approved, the 2019 Stock Incentive Plan ("2019 Stock Incentive Plan") to replace the Amended 2009 Plan, which was set to expire under its terms on June 9, 2019. Under the 2019 Stock Incentive Plan, the number of shares underlying options and other equity awards which remain outstanding, as well as the number of shares that remained available for grant, under the Amended 2009 Plan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60"/>
          </w:cols>
          <w:pgMar w:left="320" w:top="170"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under the Amended 2000 Plan were incorporated, as of June 6, 2019, into the 2019 Stock Incentive Plan. In addition, under the 2019 Stock Incentive Plan, 4,250,000 new shares were authorized for issuance.</w:t>
      </w:r>
    </w:p>
    <w:p>
      <w:pPr>
        <w:spacing w:after="0" w:line="344"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On June 11, 2020, the Company's Board of Directors adopted, and on June 17, 2020, the company's stockholders approved, the amendments to the LivePerson, Inc. 2019 Stock Incentive Plan. In addition, under the 2019 Stock Incentive Plan, 3,000,000 new shares were authorized for issuance.</w:t>
      </w:r>
    </w:p>
    <w:p>
      <w:pPr>
        <w:spacing w:after="0" w:line="344" w:lineRule="exact"/>
        <w:rPr>
          <w:sz w:val="20"/>
          <w:szCs w:val="20"/>
          <w:color w:val="auto"/>
        </w:rPr>
      </w:pPr>
    </w:p>
    <w:p>
      <w:pPr>
        <w:jc w:val="both"/>
        <w:ind w:right="20" w:firstLine="561"/>
        <w:spacing w:after="0" w:line="306" w:lineRule="auto"/>
        <w:rPr>
          <w:sz w:val="20"/>
          <w:szCs w:val="20"/>
          <w:color w:val="auto"/>
        </w:rPr>
      </w:pPr>
      <w:r>
        <w:rPr>
          <w:rFonts w:ascii="Arial" w:cs="Arial" w:eastAsia="Arial" w:hAnsi="Arial"/>
          <w:sz w:val="14"/>
          <w:szCs w:val="14"/>
          <w:color w:val="auto"/>
        </w:rPr>
        <w:t>The number of shares authorized for issuance under the 2019 Stock Incentive Plan, the Amended 2009 Plan, and the 2000 Plan is 35,067,744 shares in the aggregate. Options to acquire common stock granted thereunder have 10-year terms. As of June 30, 2020, approximately 3.4 million shares of common stock remained available for issuance under the 2019 Stock Incentive Plan (taking into account all option exercises and other equity award settlements through June 30, 2020).</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96"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w:t>
      </w:r>
    </w:p>
    <w:p>
      <w:pPr>
        <w:spacing w:after="0" w:line="74" w:lineRule="exact"/>
        <w:rPr>
          <w:sz w:val="20"/>
          <w:szCs w:val="20"/>
          <w:color w:val="auto"/>
        </w:rPr>
      </w:pPr>
    </w:p>
    <w:p>
      <w:pPr>
        <w:jc w:val="both"/>
        <w:ind w:firstLine="561"/>
        <w:spacing w:after="0" w:line="297" w:lineRule="auto"/>
        <w:rPr>
          <w:sz w:val="20"/>
          <w:szCs w:val="20"/>
          <w:color w:val="auto"/>
        </w:rPr>
      </w:pPr>
      <w:r>
        <w:rPr>
          <w:rFonts w:ascii="Arial" w:cs="Arial" w:eastAsia="Arial" w:hAnsi="Arial"/>
          <w:sz w:val="14"/>
          <w:szCs w:val="14"/>
          <w:color w:val="auto"/>
        </w:rPr>
        <w:t>On April 11, 2019, the Company's Board of Directors adopted, and on June 6, 2019, the Company's stockholders approved, the 2019 Employee Stock Purchase Plan (the "2019 Employee Stock Purchase Plan") to replace the Amended and Restated 2010 Employee Stock Purchase Plan which was set to expire under its terms in June 2020. There are 1,000,000 shares authorized and reserved for issuance under the 2019 Employee Stock Purchase Plan. As of June 30, 2020, approximately 0.9 million shares of common stock remain available for issuance under the 2019 Employee Stock Purchase Plan (taking into account all share purchases through June 30, 2020).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Inducement Plan</w:t>
      </w:r>
    </w:p>
    <w:p>
      <w:pPr>
        <w:spacing w:after="0" w:line="96" w:lineRule="exact"/>
        <w:rPr>
          <w:sz w:val="20"/>
          <w:szCs w:val="20"/>
          <w:color w:val="auto"/>
        </w:rPr>
      </w:pPr>
    </w:p>
    <w:p>
      <w:pPr>
        <w:jc w:val="both"/>
        <w:ind w:firstLine="561"/>
        <w:spacing w:after="0" w:line="288" w:lineRule="auto"/>
        <w:rPr>
          <w:sz w:val="20"/>
          <w:szCs w:val="20"/>
          <w:color w:val="auto"/>
        </w:rPr>
      </w:pPr>
      <w:r>
        <w:rPr>
          <w:rFonts w:ascii="Arial" w:cs="Arial" w:eastAsia="Arial" w:hAnsi="Arial"/>
          <w:sz w:val="14"/>
          <w:szCs w:val="14"/>
          <w:color w:val="auto"/>
        </w:rPr>
        <w:t>During January 2018, the Company established the Inducement Plan (the “2018 Plan”). Under the 2018 Plan, the Board of Directors can issue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and subsequently the Board of Directors has approved and ratified, effective as of July 31, 2018, October 29, 2018 and February 13, 2019, increases of the number of shares authorized for issuance under the Amended 2018 Plan by 500,000, 250,000 and 618,048 shares, respectively, constituting 3,368,048 shares of common stock in the aggregate being reserved for issuance pursuant to grants under the Amended 2018 Plan. As of June 30, 2020, approximately 1.2 million shares of common stock remained available for issuance under the Amended 2018 Plan (taking into account all option exercises and other equity award settlements through June 30, 2020).</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Activity</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Company’s stock option activity and weighted average exercise prices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3160" w:type="dxa"/>
            <w:vAlign w:val="bottom"/>
            <w:gridSpan w:val="5"/>
          </w:tcPr>
          <w:p>
            <w:pPr>
              <w:ind w:left="880"/>
              <w:spacing w:after="0"/>
              <w:rPr>
                <w:sz w:val="20"/>
                <w:szCs w:val="20"/>
                <w:color w:val="auto"/>
              </w:rPr>
            </w:pPr>
            <w:r>
              <w:rPr>
                <w:rFonts w:ascii="Arial" w:cs="Arial" w:eastAsia="Arial" w:hAnsi="Arial"/>
                <w:sz w:val="14"/>
                <w:szCs w:val="14"/>
                <w:b w:val="1"/>
                <w:bCs w:val="1"/>
                <w:color w:val="auto"/>
              </w:rPr>
              <w:t>Stock Option Activity</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8"/>
        </w:trPr>
        <w:tc>
          <w:tcPr>
            <w:tcW w:w="5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8"/>
        </w:trPr>
        <w:tc>
          <w:tcPr>
            <w:tcW w:w="5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5"/>
        </w:trPr>
        <w:tc>
          <w:tcPr>
            <w:tcW w:w="5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Remaining Contractual</w:t>
            </w:r>
          </w:p>
        </w:tc>
        <w:tc>
          <w:tcPr>
            <w:tcW w:w="100" w:type="dxa"/>
            <w:vAlign w:val="bottom"/>
          </w:tcPr>
          <w:p>
            <w:pPr>
              <w:spacing w:after="0"/>
              <w:rPr>
                <w:sz w:val="15"/>
                <w:szCs w:val="15"/>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b w:val="1"/>
                <w:bCs w:val="1"/>
                <w:color w:val="auto"/>
                <w:w w:val="92"/>
              </w:rPr>
              <w:t>Aggregate Intrinsic</w:t>
            </w:r>
          </w:p>
        </w:tc>
      </w:tr>
      <w:tr>
        <w:trPr>
          <w:trHeight w:val="183"/>
        </w:trPr>
        <w:tc>
          <w:tcPr>
            <w:tcW w:w="506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Options (in thousands)</w:t>
            </w: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Term (in years)</w:t>
            </w:r>
          </w:p>
        </w:tc>
        <w:tc>
          <w:tcPr>
            <w:tcW w:w="100" w:type="dxa"/>
            <w:vAlign w:val="bottom"/>
          </w:tcPr>
          <w:p>
            <w:pPr>
              <w:spacing w:after="0"/>
              <w:rPr>
                <w:sz w:val="15"/>
                <w:szCs w:val="15"/>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b w:val="1"/>
                <w:bCs w:val="1"/>
                <w:color w:val="auto"/>
                <w:w w:val="87"/>
              </w:rPr>
              <w:t>Value (in thousands)</w:t>
            </w:r>
          </w:p>
        </w:tc>
      </w:tr>
      <w:tr>
        <w:trPr>
          <w:trHeight w:val="28"/>
        </w:trPr>
        <w:tc>
          <w:tcPr>
            <w:tcW w:w="506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5"/>
        </w:trPr>
        <w:tc>
          <w:tcPr>
            <w:tcW w:w="5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outstanding at December 31, 2019</w:t>
            </w:r>
          </w:p>
        </w:tc>
        <w:tc>
          <w:tcPr>
            <w:tcW w:w="1460" w:type="dxa"/>
            <w:vAlign w:val="bottom"/>
            <w:tcBorders>
              <w:bottom w:val="single" w:sz="8" w:color="CCFFCC"/>
            </w:tcBorders>
            <w:shd w:val="clear" w:color="auto" w:fill="CCFFCC"/>
          </w:tcPr>
          <w:p>
            <w:pPr>
              <w:jc w:val="right"/>
              <w:ind w:right="49"/>
              <w:spacing w:after="0"/>
              <w:rPr>
                <w:sz w:val="20"/>
                <w:szCs w:val="20"/>
                <w:color w:val="auto"/>
              </w:rPr>
            </w:pPr>
            <w:r>
              <w:rPr>
                <w:rFonts w:ascii="Arial" w:cs="Arial" w:eastAsia="Arial" w:hAnsi="Arial"/>
                <w:sz w:val="14"/>
                <w:szCs w:val="14"/>
                <w:color w:val="auto"/>
              </w:rPr>
              <w:t>5,799</w:t>
            </w:r>
          </w:p>
        </w:tc>
        <w:tc>
          <w:tcPr>
            <w:tcW w:w="1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16.57</w:t>
            </w:r>
          </w:p>
        </w:tc>
        <w:tc>
          <w:tcPr>
            <w:tcW w:w="10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3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119,064</w:t>
            </w:r>
          </w:p>
        </w:tc>
      </w:tr>
      <w:tr>
        <w:trPr>
          <w:trHeight w:val="206"/>
        </w:trPr>
        <w:tc>
          <w:tcPr>
            <w:tcW w:w="5060" w:type="dxa"/>
            <w:vAlign w:val="bottom"/>
          </w:tcPr>
          <w:p>
            <w:pPr>
              <w:ind w:left="14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8"/>
        </w:trPr>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4"/>
        </w:trPr>
        <w:tc>
          <w:tcPr>
            <w:tcW w:w="506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4"/>
                <w:szCs w:val="14"/>
                <w:color w:val="auto"/>
              </w:rPr>
              <w:t>Exercised</w:t>
            </w:r>
          </w:p>
        </w:tc>
        <w:tc>
          <w:tcPr>
            <w:tcW w:w="14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(603)</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2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340" w:type="dxa"/>
            <w:vAlign w:val="bottom"/>
            <w:tcBorders>
              <w:bottom w:val="single" w:sz="8" w:color="CCFFCC"/>
            </w:tcBorders>
            <w:shd w:val="clear" w:color="auto" w:fill="CCFFCC"/>
          </w:tcPr>
          <w:p>
            <w:pPr>
              <w:spacing w:after="0"/>
              <w:rPr>
                <w:sz w:val="18"/>
                <w:szCs w:val="18"/>
                <w:color w:val="auto"/>
              </w:rPr>
            </w:pPr>
          </w:p>
        </w:tc>
      </w:tr>
      <w:tr>
        <w:trPr>
          <w:trHeight w:val="206"/>
        </w:trPr>
        <w:tc>
          <w:tcPr>
            <w:tcW w:w="5060" w:type="dxa"/>
            <w:vAlign w:val="bottom"/>
          </w:tcPr>
          <w:p>
            <w:pPr>
              <w:ind w:left="140"/>
              <w:spacing w:after="0"/>
              <w:rPr>
                <w:sz w:val="20"/>
                <w:szCs w:val="20"/>
                <w:color w:val="auto"/>
              </w:rPr>
            </w:pPr>
            <w:r>
              <w:rPr>
                <w:rFonts w:ascii="Arial" w:cs="Arial" w:eastAsia="Arial" w:hAnsi="Arial"/>
                <w:sz w:val="14"/>
                <w:szCs w:val="14"/>
                <w:color w:val="auto"/>
              </w:rPr>
              <w:t>Cancelled or expired</w:t>
            </w:r>
          </w:p>
        </w:tc>
        <w:tc>
          <w:tcPr>
            <w:tcW w:w="146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8"/>
        </w:trPr>
        <w:tc>
          <w:tcPr>
            <w:tcW w:w="506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40" w:type="dxa"/>
            <w:vAlign w:val="bottom"/>
            <w:tcBorders>
              <w:bottom w:val="single" w:sz="8" w:color="CCFFCC"/>
            </w:tcBorders>
          </w:tcPr>
          <w:p>
            <w:pPr>
              <w:spacing w:after="0"/>
              <w:rPr>
                <w:sz w:val="2"/>
                <w:szCs w:val="2"/>
                <w:color w:val="auto"/>
              </w:rPr>
            </w:pPr>
          </w:p>
        </w:tc>
      </w:tr>
      <w:tr>
        <w:trPr>
          <w:trHeight w:val="205"/>
        </w:trPr>
        <w:tc>
          <w:tcPr>
            <w:tcW w:w="5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outstanding at June 30, 2020</w:t>
            </w:r>
          </w:p>
        </w:tc>
        <w:tc>
          <w:tcPr>
            <w:tcW w:w="146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5,410</w:t>
            </w:r>
          </w:p>
        </w:tc>
        <w:tc>
          <w:tcPr>
            <w:tcW w:w="1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18.01</w:t>
            </w:r>
          </w:p>
        </w:tc>
        <w:tc>
          <w:tcPr>
            <w:tcW w:w="10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126,716</w:t>
            </w:r>
          </w:p>
        </w:tc>
      </w:tr>
      <w:tr>
        <w:trPr>
          <w:trHeight w:val="20"/>
        </w:trPr>
        <w:tc>
          <w:tcPr>
            <w:tcW w:w="5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5060" w:type="dxa"/>
            <w:vAlign w:val="bottom"/>
            <w:tcBorders>
              <w:bottom w:val="single" w:sz="8" w:color="CCFFCC"/>
            </w:tcBorders>
          </w:tcPr>
          <w:p>
            <w:pPr>
              <w:ind w:left="20"/>
              <w:spacing w:after="0"/>
              <w:rPr>
                <w:sz w:val="20"/>
                <w:szCs w:val="20"/>
                <w:color w:val="auto"/>
              </w:rPr>
            </w:pPr>
            <w:r>
              <w:rPr>
                <w:rFonts w:ascii="Arial" w:cs="Arial" w:eastAsia="Arial" w:hAnsi="Arial"/>
                <w:sz w:val="14"/>
                <w:szCs w:val="14"/>
                <w:color w:val="auto"/>
              </w:rPr>
              <w:t>Options vested and expected to vest</w:t>
            </w:r>
          </w:p>
        </w:tc>
        <w:tc>
          <w:tcPr>
            <w:tcW w:w="14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1,603</w:t>
            </w:r>
          </w:p>
        </w:tc>
        <w:tc>
          <w:tcPr>
            <w:tcW w:w="12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21.17</w:t>
            </w:r>
          </w:p>
        </w:tc>
        <w:tc>
          <w:tcPr>
            <w:tcW w:w="100" w:type="dxa"/>
            <w:vAlign w:val="bottom"/>
            <w:tcBorders>
              <w:bottom w:val="single" w:sz="8" w:color="CCFFCC"/>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12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32,477</w:t>
            </w:r>
          </w:p>
        </w:tc>
      </w:tr>
      <w:tr>
        <w:trPr>
          <w:trHeight w:val="197"/>
        </w:trPr>
        <w:tc>
          <w:tcPr>
            <w:tcW w:w="5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Options exercisable at June 30, 2020</w:t>
            </w:r>
          </w:p>
        </w:tc>
        <w:tc>
          <w:tcPr>
            <w:tcW w:w="1460" w:type="dxa"/>
            <w:vAlign w:val="bottom"/>
            <w:tcBorders>
              <w:bottom w:val="single" w:sz="8" w:color="auto"/>
            </w:tcBorders>
            <w:shd w:val="clear" w:color="auto" w:fill="CCFFCC"/>
          </w:tcPr>
          <w:p>
            <w:pPr>
              <w:jc w:val="right"/>
              <w:ind w:right="49"/>
              <w:spacing w:after="0"/>
              <w:rPr>
                <w:sz w:val="20"/>
                <w:szCs w:val="20"/>
                <w:color w:val="auto"/>
              </w:rPr>
            </w:pPr>
            <w:r>
              <w:rPr>
                <w:rFonts w:ascii="Arial" w:cs="Arial" w:eastAsia="Arial" w:hAnsi="Arial"/>
                <w:sz w:val="14"/>
                <w:szCs w:val="14"/>
                <w:color w:val="auto"/>
              </w:rPr>
              <w:t>2,978</w:t>
            </w:r>
          </w:p>
        </w:tc>
        <w:tc>
          <w:tcPr>
            <w:tcW w:w="1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13.98</w:t>
            </w:r>
          </w:p>
        </w:tc>
        <w:tc>
          <w:tcPr>
            <w:tcW w:w="10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81,744</w:t>
            </w:r>
          </w:p>
        </w:tc>
      </w:tr>
      <w:tr>
        <w:trPr>
          <w:trHeight w:val="20"/>
        </w:trPr>
        <w:tc>
          <w:tcPr>
            <w:tcW w:w="5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37"/>
        </w:trPr>
        <w:tc>
          <w:tcPr>
            <w:tcW w:w="5060" w:type="dxa"/>
            <w:vAlign w:val="bottom"/>
          </w:tcPr>
          <w:p>
            <w:pPr>
              <w:spacing w:after="0"/>
              <w:rPr>
                <w:sz w:val="24"/>
                <w:szCs w:val="24"/>
                <w:color w:val="auto"/>
              </w:rPr>
            </w:pPr>
          </w:p>
        </w:tc>
        <w:tc>
          <w:tcPr>
            <w:tcW w:w="1460" w:type="dxa"/>
            <w:vAlign w:val="bottom"/>
          </w:tcPr>
          <w:p>
            <w:pPr>
              <w:jc w:val="right"/>
              <w:ind w:right="74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60"/>
          </w:cols>
          <w:pgMar w:left="320" w:top="170"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ind w:right="20" w:firstLine="561"/>
        <w:spacing w:after="0" w:line="253" w:lineRule="auto"/>
        <w:rPr>
          <w:sz w:val="20"/>
          <w:szCs w:val="20"/>
          <w:color w:val="auto"/>
        </w:rPr>
      </w:pPr>
      <w:r>
        <w:rPr>
          <w:rFonts w:ascii="Arial" w:cs="Arial" w:eastAsia="Arial" w:hAnsi="Arial"/>
          <w:sz w:val="16"/>
          <w:szCs w:val="16"/>
          <w:color w:val="auto"/>
        </w:rPr>
        <w:t>The total fair value of stock options exercised during the six months ended June 30, 2020 was approximately $3.2 million. As of June 30, 2020, there was approximately $20.2 million of total unrecognized compensation cost related to nonvested share-based compensation arrangements. That cost is expected to be recognized over a weighted average period of approximately 2.7 years.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 Activity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Company’s restricted stock units (“RSUs”) activity and weighted average exercise prices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40" w:type="dxa"/>
            <w:vAlign w:val="bottom"/>
          </w:tcPr>
          <w:p>
            <w:pPr>
              <w:spacing w:after="0"/>
              <w:rPr>
                <w:sz w:val="15"/>
                <w:szCs w:val="15"/>
                <w:color w:val="auto"/>
              </w:rPr>
            </w:pPr>
          </w:p>
        </w:tc>
        <w:tc>
          <w:tcPr>
            <w:tcW w:w="3620" w:type="dxa"/>
            <w:vAlign w:val="bottom"/>
            <w:gridSpan w:val="6"/>
          </w:tcPr>
          <w:p>
            <w:pPr>
              <w:ind w:left="860"/>
              <w:spacing w:after="0"/>
              <w:rPr>
                <w:sz w:val="20"/>
                <w:szCs w:val="20"/>
                <w:color w:val="auto"/>
              </w:rPr>
            </w:pPr>
            <w:r>
              <w:rPr>
                <w:rFonts w:ascii="Arial" w:cs="Arial" w:eastAsia="Arial" w:hAnsi="Arial"/>
                <w:sz w:val="14"/>
                <w:szCs w:val="14"/>
                <w:b w:val="1"/>
                <w:bCs w:val="1"/>
                <w:color w:val="auto"/>
              </w:rPr>
              <w:t>Restricted Stock Unit Activity</w:t>
            </w: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8"/>
        </w:trPr>
        <w:tc>
          <w:tcPr>
            <w:tcW w:w="57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78"/>
        </w:trPr>
        <w:tc>
          <w:tcPr>
            <w:tcW w:w="5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Weighted Average</w:t>
            </w: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Number of Shares (in</w:t>
            </w: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 Value (Per</w:t>
            </w:r>
          </w:p>
        </w:tc>
        <w:tc>
          <w:tcPr>
            <w:tcW w:w="140" w:type="dxa"/>
            <w:vAlign w:val="bottom"/>
          </w:tcPr>
          <w:p>
            <w:pPr>
              <w:spacing w:after="0"/>
              <w:rPr>
                <w:sz w:val="15"/>
                <w:szCs w:val="15"/>
                <w:color w:val="auto"/>
              </w:rPr>
            </w:pPr>
          </w:p>
        </w:tc>
        <w:tc>
          <w:tcPr>
            <w:tcW w:w="1740" w:type="dxa"/>
            <w:vAlign w:val="bottom"/>
          </w:tcPr>
          <w:p>
            <w:pPr>
              <w:jc w:val="right"/>
              <w:ind w:right="130"/>
              <w:spacing w:after="0"/>
              <w:rPr>
                <w:sz w:val="20"/>
                <w:szCs w:val="20"/>
                <w:color w:val="auto"/>
              </w:rPr>
            </w:pPr>
            <w:r>
              <w:rPr>
                <w:rFonts w:ascii="Arial" w:cs="Arial" w:eastAsia="Arial" w:hAnsi="Arial"/>
                <w:sz w:val="14"/>
                <w:szCs w:val="14"/>
                <w:b w:val="1"/>
                <w:bCs w:val="1"/>
                <w:color w:val="auto"/>
                <w:w w:val="94"/>
              </w:rPr>
              <w:t>Aggregate Fair Value (in</w:t>
            </w:r>
          </w:p>
        </w:tc>
      </w:tr>
      <w:tr>
        <w:trPr>
          <w:trHeight w:val="183"/>
        </w:trPr>
        <w:tc>
          <w:tcPr>
            <w:tcW w:w="5740" w:type="dxa"/>
            <w:vAlign w:val="bottom"/>
          </w:tcPr>
          <w:p>
            <w:pPr>
              <w:spacing w:after="0"/>
              <w:rPr>
                <w:sz w:val="15"/>
                <w:szCs w:val="15"/>
                <w:color w:val="auto"/>
              </w:rPr>
            </w:pPr>
          </w:p>
        </w:tc>
        <w:tc>
          <w:tcPr>
            <w:tcW w:w="1200" w:type="dxa"/>
            <w:vAlign w:val="bottom"/>
          </w:tcPr>
          <w:p>
            <w:pPr>
              <w:jc w:val="center"/>
              <w:ind w:left="430"/>
              <w:spacing w:after="0"/>
              <w:rPr>
                <w:sz w:val="20"/>
                <w:szCs w:val="20"/>
                <w:color w:val="auto"/>
              </w:rPr>
            </w:pPr>
            <w:r>
              <w:rPr>
                <w:rFonts w:ascii="Arial" w:cs="Arial" w:eastAsia="Arial" w:hAnsi="Arial"/>
                <w:sz w:val="14"/>
                <w:szCs w:val="14"/>
                <w:b w:val="1"/>
                <w:bCs w:val="1"/>
                <w:color w:val="auto"/>
                <w:w w:val="87"/>
              </w:rPr>
              <w:t>thousands)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Share)</w:t>
            </w:r>
          </w:p>
        </w:tc>
        <w:tc>
          <w:tcPr>
            <w:tcW w:w="140" w:type="dxa"/>
            <w:vAlign w:val="bottom"/>
          </w:tcPr>
          <w:p>
            <w:pPr>
              <w:spacing w:after="0"/>
              <w:rPr>
                <w:sz w:val="15"/>
                <w:szCs w:val="15"/>
                <w:color w:val="auto"/>
              </w:rPr>
            </w:pPr>
          </w:p>
        </w:tc>
        <w:tc>
          <w:tcPr>
            <w:tcW w:w="1740" w:type="dxa"/>
            <w:vAlign w:val="bottom"/>
          </w:tcPr>
          <w:p>
            <w:pPr>
              <w:jc w:val="right"/>
              <w:ind w:right="550"/>
              <w:spacing w:after="0"/>
              <w:rPr>
                <w:sz w:val="20"/>
                <w:szCs w:val="20"/>
                <w:color w:val="auto"/>
              </w:rPr>
            </w:pPr>
            <w:r>
              <w:rPr>
                <w:rFonts w:ascii="Arial" w:cs="Arial" w:eastAsia="Arial" w:hAnsi="Arial"/>
                <w:sz w:val="14"/>
                <w:szCs w:val="14"/>
                <w:b w:val="1"/>
                <w:bCs w:val="1"/>
                <w:color w:val="auto"/>
              </w:rPr>
              <w:t>thousands)</w:t>
            </w:r>
          </w:p>
        </w:tc>
      </w:tr>
      <w:tr>
        <w:trPr>
          <w:trHeight w:val="28"/>
        </w:trPr>
        <w:tc>
          <w:tcPr>
            <w:tcW w:w="5740" w:type="dxa"/>
            <w:vAlign w:val="bottom"/>
            <w:tcBorders>
              <w:bottom w:val="single" w:sz="8" w:color="CCFFC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4"/>
        </w:trPr>
        <w:tc>
          <w:tcPr>
            <w:tcW w:w="69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4"/>
                <w:szCs w:val="14"/>
                <w:color w:val="auto"/>
              </w:rPr>
              <w:t>Balance outstanding at December 31, 2019</w:t>
            </w:r>
          </w:p>
        </w:tc>
        <w:tc>
          <w:tcPr>
            <w:tcW w:w="5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3,049</w:t>
            </w:r>
          </w:p>
        </w:tc>
        <w:tc>
          <w:tcPr>
            <w:tcW w:w="12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24.73</w:t>
            </w:r>
          </w:p>
        </w:tc>
        <w:tc>
          <w:tcPr>
            <w:tcW w:w="1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4"/>
                <w:szCs w:val="14"/>
                <w:color w:val="auto"/>
              </w:rPr>
              <w:t>112,848</w:t>
            </w:r>
          </w:p>
        </w:tc>
      </w:tr>
      <w:tr>
        <w:trPr>
          <w:trHeight w:val="206"/>
        </w:trPr>
        <w:tc>
          <w:tcPr>
            <w:tcW w:w="6940" w:type="dxa"/>
            <w:vAlign w:val="bottom"/>
            <w:gridSpan w:val="2"/>
          </w:tcPr>
          <w:p>
            <w:pPr>
              <w:ind w:left="140"/>
              <w:spacing w:after="0"/>
              <w:rPr>
                <w:sz w:val="20"/>
                <w:szCs w:val="20"/>
                <w:color w:val="auto"/>
              </w:rPr>
            </w:pPr>
            <w:r>
              <w:rPr>
                <w:rFonts w:ascii="Arial" w:cs="Arial" w:eastAsia="Arial" w:hAnsi="Arial"/>
                <w:sz w:val="14"/>
                <w:szCs w:val="14"/>
                <w:color w:val="auto"/>
              </w:rPr>
              <w:t>Awarded</w:t>
            </w:r>
          </w:p>
        </w:tc>
        <w:tc>
          <w:tcPr>
            <w:tcW w:w="500" w:type="dxa"/>
            <w:vAlign w:val="bottom"/>
          </w:tcPr>
          <w:p>
            <w:pPr>
              <w:jc w:val="right"/>
              <w:ind w:right="50"/>
              <w:spacing w:after="0"/>
              <w:rPr>
                <w:sz w:val="20"/>
                <w:szCs w:val="20"/>
                <w:color w:val="auto"/>
              </w:rPr>
            </w:pPr>
            <w:r>
              <w:rPr>
                <w:rFonts w:ascii="Arial" w:cs="Arial" w:eastAsia="Arial" w:hAnsi="Arial"/>
                <w:sz w:val="14"/>
                <w:szCs w:val="14"/>
                <w:color w:val="auto"/>
              </w:rPr>
              <w:t>2,294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8"/>
        </w:trPr>
        <w:tc>
          <w:tcPr>
            <w:tcW w:w="5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4"/>
        </w:trPr>
        <w:tc>
          <w:tcPr>
            <w:tcW w:w="6940" w:type="dxa"/>
            <w:vAlign w:val="bottom"/>
            <w:tcBorders>
              <w:bottom w:val="single" w:sz="8" w:color="CCFFCC"/>
            </w:tcBorders>
            <w:gridSpan w:val="2"/>
            <w:shd w:val="clear" w:color="auto" w:fill="CCFFCC"/>
          </w:tcPr>
          <w:p>
            <w:pPr>
              <w:ind w:left="140"/>
              <w:spacing w:after="0"/>
              <w:rPr>
                <w:sz w:val="20"/>
                <w:szCs w:val="20"/>
                <w:color w:val="auto"/>
              </w:rPr>
            </w:pPr>
            <w:r>
              <w:rPr>
                <w:rFonts w:ascii="Arial" w:cs="Arial" w:eastAsia="Arial" w:hAnsi="Arial"/>
                <w:sz w:val="14"/>
                <w:szCs w:val="14"/>
                <w:color w:val="auto"/>
              </w:rPr>
              <w:t>Vested</w:t>
            </w:r>
          </w:p>
        </w:tc>
        <w:tc>
          <w:tcPr>
            <w:tcW w:w="50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4"/>
                <w:szCs w:val="14"/>
                <w:color w:val="auto"/>
                <w:w w:val="90"/>
              </w:rPr>
              <w:t>(1,503)</w:t>
            </w:r>
          </w:p>
        </w:tc>
        <w:tc>
          <w:tcPr>
            <w:tcW w:w="1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740" w:type="dxa"/>
            <w:vAlign w:val="bottom"/>
            <w:tcBorders>
              <w:bottom w:val="single" w:sz="8" w:color="CCFFCC"/>
            </w:tcBorders>
            <w:shd w:val="clear" w:color="auto" w:fill="CCFFCC"/>
          </w:tcPr>
          <w:p>
            <w:pPr>
              <w:spacing w:after="0"/>
              <w:rPr>
                <w:sz w:val="18"/>
                <w:szCs w:val="18"/>
                <w:color w:val="auto"/>
              </w:rPr>
            </w:pPr>
          </w:p>
        </w:tc>
      </w:tr>
      <w:tr>
        <w:trPr>
          <w:trHeight w:val="206"/>
        </w:trPr>
        <w:tc>
          <w:tcPr>
            <w:tcW w:w="694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8"/>
        </w:trPr>
        <w:tc>
          <w:tcPr>
            <w:tcW w:w="5740" w:type="dxa"/>
            <w:vAlign w:val="bottom"/>
            <w:tcBorders>
              <w:bottom w:val="single" w:sz="8" w:color="CCFFC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5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740" w:type="dxa"/>
            <w:vAlign w:val="bottom"/>
            <w:tcBorders>
              <w:bottom w:val="single" w:sz="8" w:color="CCFFCC"/>
            </w:tcBorders>
          </w:tcPr>
          <w:p>
            <w:pPr>
              <w:spacing w:after="0"/>
              <w:rPr>
                <w:sz w:val="2"/>
                <w:szCs w:val="2"/>
                <w:color w:val="auto"/>
              </w:rPr>
            </w:pPr>
          </w:p>
        </w:tc>
      </w:tr>
      <w:tr>
        <w:trPr>
          <w:trHeight w:val="205"/>
        </w:trPr>
        <w:tc>
          <w:tcPr>
            <w:tcW w:w="57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Non-vested and outstanding at June 30, 2020</w:t>
            </w:r>
          </w:p>
        </w:tc>
        <w:tc>
          <w:tcPr>
            <w:tcW w:w="1200" w:type="dxa"/>
            <w:vAlign w:val="bottom"/>
            <w:tcBorders>
              <w:bottom w:val="single" w:sz="8" w:color="auto"/>
            </w:tcBorders>
            <w:shd w:val="clear" w:color="auto" w:fill="CCFFCC"/>
          </w:tcPr>
          <w:p>
            <w:pPr>
              <w:spacing w:after="0"/>
              <w:rPr>
                <w:sz w:val="17"/>
                <w:szCs w:val="17"/>
                <w:color w:val="auto"/>
              </w:rPr>
            </w:pPr>
          </w:p>
        </w:tc>
        <w:tc>
          <w:tcPr>
            <w:tcW w:w="5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3,350</w:t>
            </w:r>
          </w:p>
        </w:tc>
        <w:tc>
          <w:tcPr>
            <w:tcW w:w="12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4"/>
                <w:szCs w:val="14"/>
                <w:color w:val="auto"/>
              </w:rPr>
              <w:t>24.89</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4"/>
                <w:szCs w:val="14"/>
                <w:color w:val="auto"/>
              </w:rPr>
              <w:t>138,789</w:t>
            </w:r>
          </w:p>
        </w:tc>
      </w:tr>
      <w:tr>
        <w:trPr>
          <w:trHeight w:val="20"/>
        </w:trPr>
        <w:tc>
          <w:tcPr>
            <w:tcW w:w="5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7"/>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Expected to vest</w:t>
            </w:r>
          </w:p>
        </w:tc>
        <w:tc>
          <w:tcPr>
            <w:tcW w:w="500" w:type="dxa"/>
            <w:vAlign w:val="bottom"/>
          </w:tcPr>
          <w:p>
            <w:pPr>
              <w:jc w:val="right"/>
              <w:ind w:right="50"/>
              <w:spacing w:after="0"/>
              <w:rPr>
                <w:sz w:val="20"/>
                <w:szCs w:val="20"/>
                <w:color w:val="auto"/>
              </w:rPr>
            </w:pPr>
            <w:r>
              <w:rPr>
                <w:rFonts w:ascii="Arial" w:cs="Arial" w:eastAsia="Arial" w:hAnsi="Arial"/>
                <w:sz w:val="14"/>
                <w:szCs w:val="14"/>
                <w:color w:val="auto"/>
              </w:rPr>
              <w:t>2,048</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24.16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ind w:right="30"/>
              <w:spacing w:after="0"/>
              <w:rPr>
                <w:sz w:val="20"/>
                <w:szCs w:val="20"/>
                <w:color w:val="auto"/>
              </w:rPr>
            </w:pPr>
            <w:r>
              <w:rPr>
                <w:rFonts w:ascii="Arial" w:cs="Arial" w:eastAsia="Arial" w:hAnsi="Arial"/>
                <w:sz w:val="14"/>
                <w:szCs w:val="14"/>
                <w:color w:val="auto"/>
              </w:rPr>
              <w:t>84,850</w:t>
            </w:r>
          </w:p>
        </w:tc>
      </w:tr>
      <w:tr>
        <w:trPr>
          <w:trHeight w:val="20"/>
        </w:trPr>
        <w:tc>
          <w:tcPr>
            <w:tcW w:w="5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RSUs granted to employees generally vest over a three to four-year period or upon achievement of certain performance conditions. In accordance with ASU 2017-09, as of June 30, 2020, total unrecognized compensation cost, adjusted for estimated forfeitures, related to nonvested RSUs was approximately $74.9 million and the weighted-average remaining vesting period was 3.1 years.</w:t>
      </w:r>
    </w:p>
    <w:p>
      <w:pPr>
        <w:spacing w:after="0" w:line="72"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For the three months ended June 30, 2020 and 2019, the Company accrued approximately $7.9 million and $2.9 million in cash awards, respectively, and for the six months ended June 30, 2020 and 2019, the Company accrued approximately $11.6 million and $4.8 million in cash awards, respectively, to be settled in shares of the Company's stock and recorded a corresponding expense, which is included as a component of stock-based compensation expense in the accompanying condensed consolidated statements of operations for the three and six months ended June 30, 2020 and 2019, respectively.</w:t>
      </w:r>
    </w:p>
    <w:p>
      <w:pPr>
        <w:spacing w:after="0" w:line="74" w:lineRule="exact"/>
        <w:rPr>
          <w:sz w:val="20"/>
          <w:szCs w:val="20"/>
          <w:color w:val="auto"/>
        </w:rPr>
      </w:pPr>
    </w:p>
    <w:p>
      <w:pPr>
        <w:jc w:val="both"/>
        <w:ind w:firstLine="561"/>
        <w:spacing w:after="0" w:line="334" w:lineRule="auto"/>
        <w:rPr>
          <w:sz w:val="20"/>
          <w:szCs w:val="20"/>
          <w:color w:val="auto"/>
        </w:rPr>
      </w:pPr>
      <w:r>
        <w:rPr>
          <w:rFonts w:ascii="Arial" w:cs="Arial" w:eastAsia="Arial" w:hAnsi="Arial"/>
          <w:sz w:val="14"/>
          <w:szCs w:val="14"/>
          <w:color w:val="auto"/>
        </w:rPr>
        <w:t>Stock-based compensation expense recognized in the Company’s condensed consolidated statements of operations and cash flows was $15.9 million and $9.3 million for the three months ended June 30, 2020 and 2019, respectively, and $30.6 million and $16.5 million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Restructuring</w:t>
      </w:r>
    </w:p>
    <w:p>
      <w:pPr>
        <w:spacing w:after="0" w:line="194" w:lineRule="exact"/>
        <w:rPr>
          <w:sz w:val="20"/>
          <w:szCs w:val="20"/>
          <w:color w:val="auto"/>
        </w:rPr>
      </w:pPr>
    </w:p>
    <w:p>
      <w:pPr>
        <w:jc w:val="both"/>
        <w:ind w:firstLine="561"/>
        <w:spacing w:after="0" w:line="292" w:lineRule="auto"/>
        <w:rPr>
          <w:sz w:val="20"/>
          <w:szCs w:val="20"/>
          <w:color w:val="auto"/>
        </w:rPr>
      </w:pPr>
      <w:r>
        <w:rPr>
          <w:rFonts w:ascii="Arial" w:cs="Arial" w:eastAsia="Arial" w:hAnsi="Arial"/>
          <w:sz w:val="14"/>
          <w:szCs w:val="14"/>
          <w:color w:val="auto"/>
        </w:rPr>
        <w:t>The Company’s restructuring related to costs associated with re-prioritizing and reallocating resources to focus on areas showing high growth potential. There was no expense associated with this restructuring during the three months ended June 30, 2020. The expense associated with this restructuring was approximately $0.2 million during the three months ended June 30, 2019, and $3.2 million and $0.5 million for the six months ended June 30, 2020 and 2019, respectively. The Company expects to incur additional restructuring costs through December 31, 2020. The restructuring liability was approximately $0.0 million and $0.3 million as of June 30, 2020 and December 31, 2019, respectively. It is classified as accrued expenses and other current liabilities on the condensed consolidated balance sheets.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the detail of the liability for the Company's restructuring charges for the periods presented (amounts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Borders>
              <w:bottom w:val="single" w:sz="8" w:color="CCFFCC"/>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 June 30, 2020</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December 31, 2019</w:t>
            </w:r>
          </w:p>
        </w:tc>
      </w:tr>
      <w:tr>
        <w:trPr>
          <w:trHeight w:val="199"/>
        </w:trPr>
        <w:tc>
          <w:tcPr>
            <w:tcW w:w="66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Balance, Beginning of the year</w:t>
            </w:r>
          </w:p>
        </w:tc>
        <w:tc>
          <w:tcPr>
            <w:tcW w:w="1720" w:type="dxa"/>
            <w:vAlign w:val="bottom"/>
            <w:tcBorders>
              <w:bottom w:val="single" w:sz="8" w:color="CCFFCC"/>
            </w:tcBorders>
            <w:shd w:val="clear" w:color="auto" w:fill="CCFFCC"/>
          </w:tcPr>
          <w:p>
            <w:pPr>
              <w:jc w:val="right"/>
              <w:ind w:right="155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CCFFCC"/>
            </w:tcBorders>
            <w:shd w:val="clear" w:color="auto" w:fill="CCFFCC"/>
          </w:tcPr>
          <w:p>
            <w:pPr>
              <w:spacing w:after="0"/>
              <w:rPr>
                <w:sz w:val="17"/>
                <w:szCs w:val="17"/>
                <w:color w:val="auto"/>
              </w:rPr>
            </w:pPr>
          </w:p>
        </w:tc>
        <w:tc>
          <w:tcPr>
            <w:tcW w:w="340" w:type="dxa"/>
            <w:vAlign w:val="bottom"/>
            <w:tcBorders>
              <w:bottom w:val="single" w:sz="8" w:color="CCFFCC"/>
            </w:tcBorders>
            <w:shd w:val="clear" w:color="auto" w:fill="CCFFCC"/>
          </w:tcPr>
          <w:p>
            <w:pPr>
              <w:jc w:val="right"/>
              <w:ind w:right="190"/>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4"/>
                <w:szCs w:val="14"/>
                <w:color w:val="auto"/>
              </w:rPr>
              <w:t>977</w:t>
            </w:r>
          </w:p>
        </w:tc>
      </w:tr>
      <w:tr>
        <w:trPr>
          <w:trHeight w:val="206"/>
        </w:trPr>
        <w:tc>
          <w:tcPr>
            <w:tcW w:w="6640" w:type="dxa"/>
            <w:vAlign w:val="bottom"/>
          </w:tcPr>
          <w:p>
            <w:pPr>
              <w:ind w:left="240"/>
              <w:spacing w:after="0"/>
              <w:rPr>
                <w:sz w:val="20"/>
                <w:szCs w:val="20"/>
                <w:color w:val="auto"/>
              </w:rPr>
            </w:pPr>
            <w:r>
              <w:rPr>
                <w:rFonts w:ascii="Arial" w:cs="Arial" w:eastAsia="Arial" w:hAnsi="Arial"/>
                <w:sz w:val="14"/>
                <w:szCs w:val="14"/>
                <w:color w:val="auto"/>
              </w:rPr>
              <w:t>Severance and other associated costs</w:t>
            </w:r>
          </w:p>
        </w:tc>
        <w:tc>
          <w:tcPr>
            <w:tcW w:w="1720" w:type="dxa"/>
            <w:vAlign w:val="bottom"/>
          </w:tcPr>
          <w:p>
            <w:pPr>
              <w:spacing w:after="0"/>
              <w:rPr>
                <w:sz w:val="17"/>
                <w:szCs w:val="17"/>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3,193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ind w:right="31"/>
              <w:spacing w:after="0"/>
              <w:rPr>
                <w:sz w:val="20"/>
                <w:szCs w:val="20"/>
                <w:color w:val="auto"/>
              </w:rPr>
            </w:pPr>
            <w:r>
              <w:rPr>
                <w:rFonts w:ascii="Arial" w:cs="Arial" w:eastAsia="Arial" w:hAnsi="Arial"/>
                <w:sz w:val="14"/>
                <w:szCs w:val="14"/>
                <w:color w:val="auto"/>
              </w:rPr>
              <w:t>2,043</w:t>
            </w:r>
          </w:p>
        </w:tc>
      </w:tr>
      <w:tr>
        <w:trPr>
          <w:trHeight w:val="28"/>
        </w:trPr>
        <w:tc>
          <w:tcPr>
            <w:tcW w:w="6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4"/>
        </w:trPr>
        <w:tc>
          <w:tcPr>
            <w:tcW w:w="66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Cash payments</w:t>
            </w:r>
          </w:p>
        </w:tc>
        <w:tc>
          <w:tcPr>
            <w:tcW w:w="1720" w:type="dxa"/>
            <w:vAlign w:val="bottom"/>
            <w:tcBorders>
              <w:bottom w:val="single" w:sz="8" w:color="CCFFCC"/>
            </w:tcBorders>
            <w:shd w:val="clear" w:color="auto" w:fill="CCFFCC"/>
          </w:tcPr>
          <w:p>
            <w:pPr>
              <w:spacing w:after="0"/>
              <w:rPr>
                <w:sz w:val="20"/>
                <w:szCs w:val="20"/>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(3,496)</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spacing w:after="0"/>
              <w:rPr>
                <w:sz w:val="20"/>
                <w:szCs w:val="20"/>
                <w:color w:val="auto"/>
              </w:rPr>
            </w:pPr>
          </w:p>
        </w:tc>
        <w:tc>
          <w:tcPr>
            <w:tcW w:w="1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(2,706)</w:t>
            </w:r>
          </w:p>
        </w:tc>
      </w:tr>
      <w:tr>
        <w:trPr>
          <w:trHeight w:val="205"/>
        </w:trPr>
        <w:tc>
          <w:tcPr>
            <w:tcW w:w="664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720" w:type="dxa"/>
            <w:vAlign w:val="bottom"/>
            <w:tcBorders>
              <w:top w:val="single" w:sz="8" w:color="auto"/>
              <w:bottom w:val="single" w:sz="8" w:color="auto"/>
            </w:tcBorders>
          </w:tcPr>
          <w:p>
            <w:pPr>
              <w:jc w:val="right"/>
              <w:ind w:right="1553"/>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314</w:t>
            </w:r>
          </w:p>
        </w:tc>
      </w:tr>
      <w:tr>
        <w:trPr>
          <w:trHeight w:val="20"/>
        </w:trPr>
        <w:tc>
          <w:tcPr>
            <w:tcW w:w="6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 presents the detail of expenses for the Company's restructuring charges for the three months ended June 30, 2020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60"/>
              <w:spacing w:after="0"/>
              <w:rPr>
                <w:sz w:val="20"/>
                <w:szCs w:val="20"/>
                <w:color w:val="auto"/>
              </w:rPr>
            </w:pPr>
            <w:r>
              <w:rPr>
                <w:rFonts w:ascii="Arial" w:cs="Arial" w:eastAsia="Arial" w:hAnsi="Arial"/>
                <w:sz w:val="12"/>
                <w:szCs w:val="12"/>
                <w:b w:val="1"/>
                <w:bCs w:val="1"/>
                <w:color w:val="auto"/>
              </w:rPr>
              <w:t>June 30,</w:t>
            </w:r>
          </w:p>
        </w:tc>
        <w:tc>
          <w:tcPr>
            <w:tcW w:w="1660" w:type="dxa"/>
            <w:vAlign w:val="bottom"/>
            <w:tcBorders>
              <w:bottom w:val="single" w:sz="8" w:color="auto"/>
            </w:tcBorders>
          </w:tcPr>
          <w:p>
            <w:pPr>
              <w:spacing w:after="0"/>
              <w:rPr>
                <w:sz w:val="14"/>
                <w:szCs w:val="14"/>
                <w:color w:val="auto"/>
              </w:rPr>
            </w:pPr>
          </w:p>
        </w:tc>
      </w:tr>
      <w:tr>
        <w:trPr>
          <w:trHeight w:val="225"/>
        </w:trPr>
        <w:tc>
          <w:tcPr>
            <w:tcW w:w="6640" w:type="dxa"/>
            <w:vAlign w:val="bottom"/>
          </w:tcPr>
          <w:p>
            <w:pPr>
              <w:spacing w:after="0"/>
              <w:rPr>
                <w:sz w:val="19"/>
                <w:szCs w:val="19"/>
                <w:color w:val="auto"/>
              </w:rPr>
            </w:pPr>
          </w:p>
        </w:tc>
        <w:tc>
          <w:tcPr>
            <w:tcW w:w="164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2020</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13"/>
              <w:spacing w:after="0"/>
              <w:rPr>
                <w:sz w:val="20"/>
                <w:szCs w:val="20"/>
                <w:color w:val="auto"/>
              </w:rPr>
            </w:pPr>
            <w:r>
              <w:rPr>
                <w:rFonts w:ascii="Arial" w:cs="Arial" w:eastAsia="Arial" w:hAnsi="Arial"/>
                <w:sz w:val="12"/>
                <w:szCs w:val="12"/>
                <w:b w:val="1"/>
                <w:bCs w:val="1"/>
                <w:color w:val="auto"/>
              </w:rPr>
              <w:t>2019</w:t>
            </w:r>
          </w:p>
        </w:tc>
      </w:tr>
      <w:tr>
        <w:trPr>
          <w:trHeight w:val="191"/>
        </w:trPr>
        <w:tc>
          <w:tcPr>
            <w:tcW w:w="6640" w:type="dxa"/>
            <w:vAlign w:val="bottom"/>
          </w:tcPr>
          <w:p>
            <w:pPr>
              <w:ind w:left="20"/>
              <w:spacing w:after="0"/>
              <w:rPr>
                <w:sz w:val="20"/>
                <w:szCs w:val="20"/>
                <w:color w:val="auto"/>
              </w:rPr>
            </w:pPr>
            <w:r>
              <w:rPr>
                <w:rFonts w:ascii="Arial" w:cs="Arial" w:eastAsia="Arial" w:hAnsi="Arial"/>
                <w:sz w:val="14"/>
                <w:szCs w:val="14"/>
                <w:color w:val="auto"/>
              </w:rPr>
              <w:t>Severance and other associated costs</w:t>
            </w:r>
          </w:p>
        </w:tc>
        <w:tc>
          <w:tcPr>
            <w:tcW w:w="1640" w:type="dxa"/>
            <w:vAlign w:val="bottom"/>
          </w:tcPr>
          <w:p>
            <w:pPr>
              <w:jc w:val="right"/>
              <w:ind w:right="1473"/>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10"/>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ind w:right="33"/>
              <w:spacing w:after="0"/>
              <w:rPr>
                <w:sz w:val="20"/>
                <w:szCs w:val="20"/>
                <w:color w:val="auto"/>
              </w:rPr>
            </w:pPr>
            <w:r>
              <w:rPr>
                <w:rFonts w:ascii="Arial" w:cs="Arial" w:eastAsia="Arial" w:hAnsi="Arial"/>
                <w:sz w:val="14"/>
                <w:szCs w:val="14"/>
                <w:color w:val="auto"/>
              </w:rPr>
              <w:t>205</w:t>
            </w:r>
          </w:p>
        </w:tc>
      </w:tr>
      <w:tr>
        <w:trPr>
          <w:trHeight w:val="28"/>
        </w:trPr>
        <w:tc>
          <w:tcPr>
            <w:tcW w:w="6640" w:type="dxa"/>
            <w:vAlign w:val="bottom"/>
            <w:tcBorders>
              <w:bottom w:val="single" w:sz="8" w:color="CCFFC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5"/>
        </w:trPr>
        <w:tc>
          <w:tcPr>
            <w:tcW w:w="6640" w:type="dxa"/>
            <w:vAlign w:val="bottom"/>
            <w:shd w:val="clear" w:color="auto" w:fill="CCFFCC"/>
          </w:tcPr>
          <w:p>
            <w:pPr>
              <w:ind w:left="240"/>
              <w:spacing w:after="0"/>
              <w:rPr>
                <w:sz w:val="20"/>
                <w:szCs w:val="20"/>
                <w:color w:val="auto"/>
              </w:rPr>
            </w:pPr>
            <w:r>
              <w:rPr>
                <w:rFonts w:ascii="Arial" w:cs="Arial" w:eastAsia="Arial" w:hAnsi="Arial"/>
                <w:sz w:val="14"/>
                <w:szCs w:val="14"/>
                <w:color w:val="auto"/>
              </w:rPr>
              <w:t>Total restructuring costs</w:t>
            </w:r>
          </w:p>
        </w:tc>
        <w:tc>
          <w:tcPr>
            <w:tcW w:w="1640" w:type="dxa"/>
            <w:vAlign w:val="bottom"/>
            <w:shd w:val="clear" w:color="auto" w:fill="CCFFCC"/>
          </w:tcPr>
          <w:p>
            <w:pPr>
              <w:jc w:val="right"/>
              <w:ind w:right="1473"/>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ind w:left="3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FFCC"/>
          </w:tcPr>
          <w:p>
            <w:pPr>
              <w:jc w:val="right"/>
              <w:ind w:right="410"/>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FFCC"/>
          </w:tcPr>
          <w:p>
            <w:pPr>
              <w:jc w:val="right"/>
              <w:ind w:right="33"/>
              <w:spacing w:after="0"/>
              <w:rPr>
                <w:sz w:val="20"/>
                <w:szCs w:val="20"/>
                <w:color w:val="auto"/>
              </w:rPr>
            </w:pPr>
            <w:r>
              <w:rPr>
                <w:rFonts w:ascii="Arial" w:cs="Arial" w:eastAsia="Arial" w:hAnsi="Arial"/>
                <w:sz w:val="14"/>
                <w:szCs w:val="14"/>
                <w:color w:val="auto"/>
              </w:rPr>
              <w:t>205</w:t>
            </w:r>
          </w:p>
        </w:tc>
      </w:tr>
      <w:tr>
        <w:trPr>
          <w:trHeight w:val="20"/>
        </w:trPr>
        <w:tc>
          <w:tcPr>
            <w:tcW w:w="6640" w:type="dxa"/>
            <w:vAlign w:val="bottom"/>
            <w:tcBorders>
              <w:top w:val="single" w:sz="8" w:color="CCFFCC"/>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 presents the detail of expenses for the Company's restructuring charges for the six months ended June 30, 2020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2"/>
                <w:szCs w:val="12"/>
                <w:b w:val="1"/>
                <w:bCs w:val="1"/>
                <w:color w:val="auto"/>
              </w:rPr>
              <w:t>June 30,</w:t>
            </w:r>
          </w:p>
        </w:tc>
        <w:tc>
          <w:tcPr>
            <w:tcW w:w="1660" w:type="dxa"/>
            <w:vAlign w:val="bottom"/>
            <w:tcBorders>
              <w:bottom w:val="single" w:sz="8" w:color="auto"/>
            </w:tcBorders>
          </w:tcPr>
          <w:p>
            <w:pPr>
              <w:spacing w:after="0"/>
              <w:rPr>
                <w:sz w:val="14"/>
                <w:szCs w:val="14"/>
                <w:color w:val="auto"/>
              </w:rPr>
            </w:pPr>
          </w:p>
        </w:tc>
      </w:tr>
      <w:tr>
        <w:trPr>
          <w:trHeight w:val="225"/>
        </w:trPr>
        <w:tc>
          <w:tcPr>
            <w:tcW w:w="66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34"/>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13"/>
              <w:spacing w:after="0"/>
              <w:rPr>
                <w:sz w:val="20"/>
                <w:szCs w:val="20"/>
                <w:color w:val="auto"/>
              </w:rPr>
            </w:pPr>
            <w:r>
              <w:rPr>
                <w:rFonts w:ascii="Arial" w:cs="Arial" w:eastAsia="Arial" w:hAnsi="Arial"/>
                <w:sz w:val="12"/>
                <w:szCs w:val="12"/>
                <w:b w:val="1"/>
                <w:bCs w:val="1"/>
                <w:color w:val="auto"/>
              </w:rPr>
              <w:t>2019</w:t>
            </w:r>
          </w:p>
        </w:tc>
      </w:tr>
      <w:tr>
        <w:trPr>
          <w:trHeight w:val="191"/>
        </w:trPr>
        <w:tc>
          <w:tcPr>
            <w:tcW w:w="6640" w:type="dxa"/>
            <w:vAlign w:val="bottom"/>
          </w:tcPr>
          <w:p>
            <w:pPr>
              <w:ind w:left="20"/>
              <w:spacing w:after="0"/>
              <w:rPr>
                <w:sz w:val="20"/>
                <w:szCs w:val="20"/>
                <w:color w:val="auto"/>
              </w:rPr>
            </w:pPr>
            <w:r>
              <w:rPr>
                <w:rFonts w:ascii="Arial" w:cs="Arial" w:eastAsia="Arial" w:hAnsi="Arial"/>
                <w:sz w:val="14"/>
                <w:szCs w:val="14"/>
                <w:color w:val="auto"/>
              </w:rPr>
              <w:t>Severance and other associated costs</w:t>
            </w:r>
          </w:p>
        </w:tc>
        <w:tc>
          <w:tcPr>
            <w:tcW w:w="56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54"/>
              <w:spacing w:after="0"/>
              <w:rPr>
                <w:sz w:val="20"/>
                <w:szCs w:val="20"/>
                <w:color w:val="auto"/>
              </w:rPr>
            </w:pPr>
            <w:r>
              <w:rPr>
                <w:rFonts w:ascii="Arial" w:cs="Arial" w:eastAsia="Arial" w:hAnsi="Arial"/>
                <w:sz w:val="14"/>
                <w:szCs w:val="14"/>
                <w:color w:val="auto"/>
              </w:rPr>
              <w:t>3,193</w:t>
            </w:r>
          </w:p>
        </w:tc>
        <w:tc>
          <w:tcPr>
            <w:tcW w:w="120" w:type="dxa"/>
            <w:vAlign w:val="bottom"/>
          </w:tcPr>
          <w:p>
            <w:pPr>
              <w:spacing w:after="0"/>
              <w:rPr>
                <w:sz w:val="16"/>
                <w:szCs w:val="16"/>
                <w:color w:val="auto"/>
              </w:rPr>
            </w:pPr>
          </w:p>
        </w:tc>
        <w:tc>
          <w:tcPr>
            <w:tcW w:w="560" w:type="dxa"/>
            <w:vAlign w:val="bottom"/>
          </w:tcPr>
          <w:p>
            <w:pPr>
              <w:jc w:val="right"/>
              <w:ind w:right="410"/>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ind w:right="33"/>
              <w:spacing w:after="0"/>
              <w:rPr>
                <w:sz w:val="20"/>
                <w:szCs w:val="20"/>
                <w:color w:val="auto"/>
              </w:rPr>
            </w:pPr>
            <w:r>
              <w:rPr>
                <w:rFonts w:ascii="Arial" w:cs="Arial" w:eastAsia="Arial" w:hAnsi="Arial"/>
                <w:sz w:val="14"/>
                <w:szCs w:val="14"/>
                <w:color w:val="auto"/>
              </w:rPr>
              <w:t>484</w:t>
            </w:r>
          </w:p>
        </w:tc>
      </w:tr>
      <w:tr>
        <w:trPr>
          <w:trHeight w:val="28"/>
        </w:trPr>
        <w:tc>
          <w:tcPr>
            <w:tcW w:w="6640" w:type="dxa"/>
            <w:vAlign w:val="bottom"/>
            <w:tcBorders>
              <w:bottom w:val="single" w:sz="8" w:color="CCFFC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5"/>
        </w:trPr>
        <w:tc>
          <w:tcPr>
            <w:tcW w:w="66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4"/>
                <w:szCs w:val="14"/>
                <w:color w:val="auto"/>
              </w:rPr>
              <w:t>Total restructuring costs</w:t>
            </w:r>
          </w:p>
        </w:tc>
        <w:tc>
          <w:tcPr>
            <w:tcW w:w="560" w:type="dxa"/>
            <w:vAlign w:val="bottom"/>
            <w:tcBorders>
              <w:bottom w:val="single" w:sz="8" w:color="auto"/>
            </w:tcBorders>
            <w:shd w:val="clear" w:color="auto" w:fill="CCFFCC"/>
          </w:tcPr>
          <w:p>
            <w:pPr>
              <w:jc w:val="right"/>
              <w:ind w:right="39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FFCC"/>
          </w:tcPr>
          <w:p>
            <w:pPr>
              <w:jc w:val="right"/>
              <w:ind w:right="54"/>
              <w:spacing w:after="0"/>
              <w:rPr>
                <w:sz w:val="20"/>
                <w:szCs w:val="20"/>
                <w:color w:val="auto"/>
              </w:rPr>
            </w:pPr>
            <w:r>
              <w:rPr>
                <w:rFonts w:ascii="Arial" w:cs="Arial" w:eastAsia="Arial" w:hAnsi="Arial"/>
                <w:sz w:val="14"/>
                <w:szCs w:val="14"/>
                <w:color w:val="auto"/>
              </w:rPr>
              <w:t>3,193</w:t>
            </w:r>
          </w:p>
        </w:tc>
        <w:tc>
          <w:tcPr>
            <w:tcW w:w="120" w:type="dxa"/>
            <w:vAlign w:val="bottom"/>
            <w:tcBorders>
              <w:bottom w:val="single" w:sz="8" w:color="CCFFCC"/>
            </w:tcBorders>
            <w:shd w:val="clear" w:color="auto" w:fill="CCFFCC"/>
          </w:tcPr>
          <w:p>
            <w:pPr>
              <w:spacing w:after="0"/>
              <w:rPr>
                <w:sz w:val="17"/>
                <w:szCs w:val="17"/>
                <w:color w:val="auto"/>
              </w:rPr>
            </w:pPr>
          </w:p>
        </w:tc>
        <w:tc>
          <w:tcPr>
            <w:tcW w:w="560" w:type="dxa"/>
            <w:vAlign w:val="bottom"/>
            <w:tcBorders>
              <w:bottom w:val="single" w:sz="8" w:color="auto"/>
            </w:tcBorders>
            <w:shd w:val="clear" w:color="auto" w:fill="CCFFCC"/>
          </w:tcPr>
          <w:p>
            <w:pPr>
              <w:jc w:val="right"/>
              <w:ind w:right="410"/>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4"/>
                <w:szCs w:val="14"/>
                <w:color w:val="auto"/>
              </w:rPr>
              <w:t>484</w:t>
            </w:r>
          </w:p>
        </w:tc>
      </w:tr>
      <w:tr>
        <w:trPr>
          <w:trHeight w:val="20"/>
        </w:trPr>
        <w:tc>
          <w:tcPr>
            <w:tcW w:w="6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Legal Matters</w:t>
      </w:r>
    </w:p>
    <w:p>
      <w:pPr>
        <w:spacing w:after="0" w:line="100" w:lineRule="exact"/>
        <w:rPr>
          <w:sz w:val="20"/>
          <w:szCs w:val="20"/>
          <w:color w:val="auto"/>
        </w:rPr>
      </w:pPr>
    </w:p>
    <w:p>
      <w:pPr>
        <w:jc w:val="both"/>
        <w:ind w:firstLine="561"/>
        <w:spacing w:after="0" w:line="285" w:lineRule="auto"/>
        <w:rPr>
          <w:sz w:val="20"/>
          <w:szCs w:val="20"/>
          <w:color w:val="auto"/>
        </w:rPr>
      </w:pPr>
      <w:r>
        <w:rPr>
          <w:rFonts w:ascii="Arial" w:cs="Arial" w:eastAsia="Arial" w:hAnsi="Arial"/>
          <w:sz w:val="14"/>
          <w:szCs w:val="14"/>
          <w:color w:val="auto"/>
        </w:rPr>
        <w:t xml:space="preserve">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Trial for the Company’s intellectual property and other claims asserted against [24]7 in the original litigation </w:t>
      </w:r>
      <w:r>
        <w:rPr>
          <w:rFonts w:ascii="Arial" w:cs="Arial" w:eastAsia="Arial" w:hAnsi="Arial"/>
          <w:sz w:val="14"/>
          <w:szCs w:val="14"/>
          <w:color w:val="212529"/>
        </w:rPr>
        <w:t>was set for April 27, 2020, but that date was vacated due to court restrictions related to COVID-19 and will be reset once those</w:t>
      </w:r>
      <w:r>
        <w:rPr>
          <w:rFonts w:ascii="Arial" w:cs="Arial" w:eastAsia="Arial" w:hAnsi="Arial"/>
          <w:sz w:val="14"/>
          <w:szCs w:val="14"/>
          <w:color w:val="auto"/>
        </w:rPr>
        <w:t xml:space="preserve"> </w:t>
      </w:r>
      <w:r>
        <w:rPr>
          <w:rFonts w:ascii="Arial" w:cs="Arial" w:eastAsia="Arial" w:hAnsi="Arial"/>
          <w:sz w:val="14"/>
          <w:szCs w:val="14"/>
          <w:color w:val="212529"/>
        </w:rPr>
        <w:t>restrictions are lifted</w:t>
      </w:r>
      <w:r>
        <w:rPr>
          <w:rFonts w:ascii="Arial" w:cs="Arial" w:eastAsia="Arial" w:hAnsi="Arial"/>
          <w:sz w:val="14"/>
          <w:szCs w:val="14"/>
          <w:color w:val="000000"/>
        </w:rPr>
        <w:t>. Trial for [24]7’s patent infringement claims has been vacated, to be reset after the trial on LivePerson’s claims. The Company believes the claims filed by</w:t>
      </w:r>
      <w:r>
        <w:rPr>
          <w:rFonts w:ascii="Arial" w:cs="Arial" w:eastAsia="Arial" w:hAnsi="Arial"/>
          <w:sz w:val="14"/>
          <w:szCs w:val="14"/>
          <w:color w:val="212529"/>
        </w:rPr>
        <w:t xml:space="preserve"> </w:t>
      </w:r>
      <w:r>
        <w:rPr>
          <w:rFonts w:ascii="Arial" w:cs="Arial" w:eastAsia="Arial" w:hAnsi="Arial"/>
          <w:sz w:val="14"/>
          <w:szCs w:val="14"/>
          <w:color w:val="000000"/>
        </w:rPr>
        <w:t>[24]7 are entirely without merit and intends to defend them vigorously.</w:t>
      </w:r>
    </w:p>
    <w:p>
      <w:pPr>
        <w:spacing w:after="0" w:line="55"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ectPr>
          <w:pgSz w:w="11900" w:h="16838" w:orient="portrait"/>
          <w:cols w:equalWidth="0" w:num="1">
            <w:col w:w="11260"/>
          </w:cols>
          <w:pgMar w:left="320" w:top="170" w:right="319" w:bottom="0" w:gutter="0" w:footer="0" w:header="0"/>
        </w:sectPr>
      </w:pPr>
    </w:p>
    <w:bookmarkStart w:id="32" w:name="page33"/>
    <w:bookmarkEnd w:id="32"/>
    <w:p>
      <w:pPr>
        <w:jc w:val="both"/>
        <w:ind w:firstLine="561"/>
        <w:spacing w:after="0" w:line="253"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60"/>
          </w:cols>
          <w:pgMar w:left="320" w:top="127" w:right="319" w:bottom="1440" w:gutter="0" w:footer="0" w:header="0"/>
        </w:sectPr>
      </w:pPr>
    </w:p>
    <w:bookmarkStart w:id="33" w:name="page34"/>
    <w:bookmarkEnd w:id="33"/>
    <w:p>
      <w:pPr>
        <w:jc w:val="both"/>
        <w:spacing w:after="0" w:line="286" w:lineRule="auto"/>
        <w:rPr>
          <w:sz w:val="20"/>
          <w:szCs w:val="20"/>
          <w:color w:val="auto"/>
        </w:rPr>
      </w:pPr>
      <w:r>
        <w:rPr>
          <w:rFonts w:ascii="Arial" w:cs="Arial" w:eastAsia="Arial" w:hAnsi="Arial"/>
          <w:sz w:val="14"/>
          <w:szCs w:val="14"/>
          <w:color w:val="auto"/>
        </w:rPr>
        <w:t>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54" w:lineRule="exact"/>
        <w:rPr>
          <w:sz w:val="20"/>
          <w:szCs w:val="20"/>
          <w:color w:val="auto"/>
        </w:rPr>
      </w:pPr>
    </w:p>
    <w:p>
      <w:pPr>
        <w:jc w:val="both"/>
        <w:ind w:firstLine="561"/>
        <w:spacing w:after="0" w:line="292" w:lineRule="auto"/>
        <w:rPr>
          <w:sz w:val="20"/>
          <w:szCs w:val="20"/>
          <w:color w:val="auto"/>
        </w:rPr>
      </w:pPr>
      <w:r>
        <w:rPr>
          <w:rFonts w:ascii="Arial" w:cs="Arial" w:eastAsia="Arial" w:hAnsi="Arial"/>
          <w:sz w:val="14"/>
          <w:szCs w:val="14"/>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Income Taxes</w:t>
      </w:r>
    </w:p>
    <w:p>
      <w:pPr>
        <w:spacing w:after="0" w:line="100" w:lineRule="exact"/>
        <w:rPr>
          <w:sz w:val="20"/>
          <w:szCs w:val="20"/>
          <w:color w:val="auto"/>
        </w:rPr>
      </w:pPr>
    </w:p>
    <w:p>
      <w:pPr>
        <w:jc w:val="both"/>
        <w:ind w:firstLine="561"/>
        <w:spacing w:after="0" w:line="284" w:lineRule="auto"/>
        <w:rPr>
          <w:sz w:val="20"/>
          <w:szCs w:val="20"/>
          <w:color w:val="auto"/>
        </w:rPr>
      </w:pPr>
      <w:r>
        <w:rPr>
          <w:rFonts w:ascii="Arial" w:cs="Arial" w:eastAsia="Arial" w:hAnsi="Arial"/>
          <w:sz w:val="14"/>
          <w:szCs w:val="14"/>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Valuation allowances are established, when necessary, to reduce deferred tax assets to the amount expected to be realized.</w:t>
      </w:r>
    </w:p>
    <w:p>
      <w:pPr>
        <w:spacing w:after="0" w:line="57" w:lineRule="exact"/>
        <w:rPr>
          <w:sz w:val="20"/>
          <w:szCs w:val="20"/>
          <w:color w:val="auto"/>
        </w:rPr>
      </w:pPr>
    </w:p>
    <w:p>
      <w:pPr>
        <w:jc w:val="both"/>
        <w:ind w:firstLine="561"/>
        <w:spacing w:after="0" w:line="292" w:lineRule="auto"/>
        <w:rPr>
          <w:sz w:val="20"/>
          <w:szCs w:val="20"/>
          <w:color w:val="auto"/>
        </w:rPr>
      </w:pPr>
      <w:r>
        <w:rPr>
          <w:rFonts w:ascii="Arial" w:cs="Arial" w:eastAsia="Arial" w:hAnsi="Arial"/>
          <w:sz w:val="14"/>
          <w:szCs w:val="14"/>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Under the CARES Act, the Company is able to recognize the benefit of the tax year 2018 loss by carrying back the loss to prior periods. There was no tax benefit recognized for the three months ended June 30, 2020. The total tax benefit recognized in the Company’s condensed consolidated statement of operations for the six months ended June 30, 2020 as a result of the CARES Act is approximately $0.6 million.</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Events</w:t>
      </w:r>
    </w:p>
    <w:p>
      <w:pPr>
        <w:spacing w:after="0" w:line="135" w:lineRule="exact"/>
        <w:rPr>
          <w:sz w:val="20"/>
          <w:szCs w:val="20"/>
          <w:color w:val="auto"/>
        </w:rPr>
      </w:pPr>
    </w:p>
    <w:p>
      <w:pPr>
        <w:jc w:val="both"/>
        <w:ind w:firstLine="678"/>
        <w:spacing w:after="0" w:line="293" w:lineRule="auto"/>
        <w:rPr>
          <w:sz w:val="20"/>
          <w:szCs w:val="20"/>
          <w:color w:val="auto"/>
        </w:rPr>
      </w:pPr>
      <w:r>
        <w:rPr>
          <w:rFonts w:ascii="Arial" w:cs="Arial" w:eastAsia="Arial" w:hAnsi="Arial"/>
          <w:sz w:val="16"/>
          <w:szCs w:val="16"/>
          <w:color w:val="auto"/>
        </w:rPr>
        <w:t>In response to the coronavirus pandemic, we have undertaken a re-evaluation of our real estate needs. In connection with this re-evaluation, and the success we have had working remotely for the past several months, it is likely that we will significantly reduce or eliminate the real estate space we lease. This will result in the derecognition of the associated ROU assets and lease liabilities and may also result in impairment charges to other assets such as property and equipment located at these leased office locations. Furthermore, this will likely result in various one-time cash expenses in connection with early termination of some or all of our leases that could be material to our financial position and results of operations. As the Company is still actively assessing its global lease portfolio, management is not able to estimate the financial effect of this transition to an employee-centric model.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60"/>
          </w:cols>
          <w:pgMar w:left="320" w:top="501"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Item 2. 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96"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General</w:t>
      </w:r>
    </w:p>
    <w:p>
      <w:pPr>
        <w:spacing w:after="0" w:line="194" w:lineRule="exact"/>
        <w:rPr>
          <w:sz w:val="20"/>
          <w:szCs w:val="20"/>
          <w:color w:val="auto"/>
        </w:rPr>
      </w:pPr>
    </w:p>
    <w:p>
      <w:pPr>
        <w:jc w:val="both"/>
        <w:ind w:firstLine="561"/>
        <w:spacing w:after="0" w:line="284" w:lineRule="auto"/>
        <w:rPr>
          <w:sz w:val="20"/>
          <w:szCs w:val="20"/>
          <w:color w:val="auto"/>
        </w:rPr>
      </w:pPr>
      <w:r>
        <w:rPr>
          <w:rFonts w:ascii="Arial" w:cs="Arial" w:eastAsia="Arial" w:hAnsi="Arial"/>
          <w:sz w:val="14"/>
          <w:szCs w:val="14"/>
          <w:i w:val="1"/>
          <w:iCs w:val="1"/>
          <w:color w:val="auto"/>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Arial" w:cs="Arial" w:eastAsia="Arial" w:hAnsi="Arial"/>
          <w:sz w:val="14"/>
          <w:szCs w:val="14"/>
          <w:i w:val="1"/>
          <w:iCs w:val="1"/>
          <w:color w:val="212529"/>
        </w:rPr>
        <w:t>In addition, our actual results could differ from our estimates and assumptions based upon impacts on our business and general economic conditions due to the</w:t>
      </w:r>
      <w:r>
        <w:rPr>
          <w:rFonts w:ascii="Arial" w:cs="Arial" w:eastAsia="Arial" w:hAnsi="Arial"/>
          <w:sz w:val="14"/>
          <w:szCs w:val="14"/>
          <w:i w:val="1"/>
          <w:iCs w:val="1"/>
          <w:color w:val="auto"/>
        </w:rPr>
        <w:t xml:space="preserve"> </w:t>
      </w:r>
      <w:r>
        <w:rPr>
          <w:rFonts w:ascii="Arial" w:cs="Arial" w:eastAsia="Arial" w:hAnsi="Arial"/>
          <w:sz w:val="14"/>
          <w:szCs w:val="14"/>
          <w:i w:val="1"/>
          <w:iCs w:val="1"/>
          <w:color w:val="212529"/>
        </w:rPr>
        <w:t>current COVID-19 pandemic.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19" w:lineRule="exact"/>
        <w:rPr>
          <w:sz w:val="20"/>
          <w:szCs w:val="20"/>
          <w:color w:val="auto"/>
        </w:rPr>
      </w:pPr>
    </w:p>
    <w:p>
      <w:pPr>
        <w:jc w:val="both"/>
        <w:ind w:firstLine="667"/>
        <w:spacing w:after="0" w:line="284" w:lineRule="auto"/>
        <w:rPr>
          <w:sz w:val="20"/>
          <w:szCs w:val="20"/>
          <w:color w:val="auto"/>
        </w:rPr>
      </w:pPr>
      <w:r>
        <w:rPr>
          <w:rFonts w:ascii="Arial" w:cs="Arial" w:eastAsia="Arial" w:hAnsi="Arial"/>
          <w:sz w:val="14"/>
          <w:szCs w:val="14"/>
          <w:color w:val="auto"/>
        </w:rPr>
        <w:t>LivePerson, Inc. (“LivePerson”, the “Company”, “we” or “our”) makes life easier for people and brands everywhere through messaging powered by AI and humans. During the past decade, the consumers have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social and brick and mortar engagements. For example, consumers can look up product info like ratings, images and pricing, search for stores, see product inventory, schedule appointments, apply for credit, approve repairs, make purchases or payments - all without ever leaving the messaging channel. We refer to these AI and human-assisted conversational experiences as the Conversational Space.</w:t>
      </w:r>
    </w:p>
    <w:p>
      <w:pPr>
        <w:spacing w:after="0" w:line="53"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LiveEngage, our enterprise-class cloud-based platform, enables businesses to become conversational by securely deploying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forcing them to navigate interactive voice response systems (IVRs) and wait on hold. Similarly, LiveEngage can receive traditional emails and convert them into messaging conversations, or embed messaging conversations directly into web advertisements, rather than redirect consumers to static website landing pages.</w:t>
      </w:r>
    </w:p>
    <w:p>
      <w:pPr>
        <w:spacing w:after="0" w:line="79"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Our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social, email,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LiveEngage.</w:t>
      </w:r>
    </w:p>
    <w:p>
      <w:pPr>
        <w:spacing w:after="0" w:line="52"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LiveEngage offers brands a comprehensive approach to scaling automations across their millions of customer conversations.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60"/>
          </w:cols>
          <w:pgMar w:left="320" w:top="777" w:right="319" w:bottom="1440" w:gutter="0" w:footer="0" w:header="0"/>
        </w:sectPr>
      </w:pPr>
    </w:p>
    <w:bookmarkStart w:id="35" w:name="page36"/>
    <w:bookmarkEnd w:id="35"/>
    <w:p>
      <w:pPr>
        <w:jc w:val="both"/>
        <w:ind w:firstLine="561"/>
        <w:spacing w:after="0" w:line="297" w:lineRule="auto"/>
        <w:rPr>
          <w:sz w:val="20"/>
          <w:szCs w:val="20"/>
          <w:color w:val="auto"/>
        </w:rPr>
      </w:pPr>
      <w:r>
        <w:rPr>
          <w:rFonts w:ascii="Arial" w:cs="Arial" w:eastAsia="Arial" w:hAnsi="Arial"/>
          <w:sz w:val="14"/>
          <w:szCs w:val="14"/>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Certain of our customers have achieved the following advantages from our offerings:</w:t>
      </w:r>
    </w:p>
    <w:p>
      <w:pPr>
        <w:spacing w:after="0" w:line="44" w:lineRule="exact"/>
        <w:rPr>
          <w:sz w:val="20"/>
          <w:szCs w:val="20"/>
          <w:color w:val="auto"/>
        </w:rPr>
      </w:pPr>
    </w:p>
    <w:p>
      <w:pPr>
        <w:ind w:left="1100" w:hanging="289"/>
        <w:spacing w:after="0" w:line="251" w:lineRule="auto"/>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ind w:left="1100" w:hanging="289"/>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labor efficiency gains of at least two times that of voice agents, effectively cutting labor costs by at least 50%;</w:t>
      </w:r>
    </w:p>
    <w:p>
      <w:pPr>
        <w:spacing w:after="0" w:line="2" w:lineRule="exact"/>
        <w:rPr>
          <w:rFonts w:ascii="Arial" w:cs="Arial" w:eastAsia="Arial" w:hAnsi="Arial"/>
          <w:sz w:val="16"/>
          <w:szCs w:val="16"/>
          <w:color w:val="auto"/>
        </w:rPr>
      </w:pPr>
    </w:p>
    <w:p>
      <w:pPr>
        <w:ind w:left="1100" w:hanging="289"/>
        <w:spacing w:after="0"/>
        <w:tabs>
          <w:tab w:leader="none" w:pos="11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improving the overall customer experience, thereby fueling customer satisfaction increases of up to 20 percentage points, and enhancing retention and loyalty;</w:t>
      </w:r>
    </w:p>
    <w:p>
      <w:pPr>
        <w:spacing w:after="0" w:line="25" w:lineRule="exact"/>
        <w:rPr>
          <w:rFonts w:ascii="Arial" w:cs="Arial" w:eastAsia="Arial" w:hAnsi="Arial"/>
          <w:sz w:val="14"/>
          <w:szCs w:val="14"/>
          <w:color w:val="auto"/>
        </w:rPr>
      </w:pPr>
    </w:p>
    <w:p>
      <w:pPr>
        <w:ind w:left="1100" w:hanging="289"/>
        <w:spacing w:after="0"/>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more convenient, personalized and content-rich conversations that increase sales conversion by up to 20%, increase average order value and reduce abandonment;</w:t>
      </w:r>
    </w:p>
    <w:p>
      <w:pPr>
        <w:spacing w:after="0" w:line="37" w:lineRule="exact"/>
        <w:rPr>
          <w:rFonts w:ascii="Arial" w:cs="Arial" w:eastAsia="Arial" w:hAnsi="Arial"/>
          <w:sz w:val="13"/>
          <w:szCs w:val="13"/>
          <w:color w:val="auto"/>
        </w:rPr>
      </w:pPr>
    </w:p>
    <w:p>
      <w:pPr>
        <w:ind w:left="1100" w:hanging="289"/>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more satisfied contact center agents, thereby reducing agent churn by up to 50%;</w:t>
      </w:r>
    </w:p>
    <w:p>
      <w:pPr>
        <w:spacing w:after="0" w:line="2" w:lineRule="exact"/>
        <w:rPr>
          <w:rFonts w:ascii="Arial" w:cs="Arial" w:eastAsia="Arial" w:hAnsi="Arial"/>
          <w:sz w:val="16"/>
          <w:szCs w:val="16"/>
          <w:color w:val="auto"/>
        </w:rPr>
      </w:pPr>
    </w:p>
    <w:p>
      <w:pPr>
        <w:ind w:left="1100" w:hanging="289"/>
        <w:spacing w:after="0"/>
        <w:tabs>
          <w:tab w:leader="none" w:pos="11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maintain a valued connection with consumers via mobile devices, either through native applications, websites, text messages, or third-party messaging platforms;</w:t>
      </w:r>
    </w:p>
    <w:p>
      <w:pPr>
        <w:spacing w:after="0" w:line="25" w:lineRule="exact"/>
        <w:rPr>
          <w:rFonts w:ascii="Arial" w:cs="Arial" w:eastAsia="Arial" w:hAnsi="Arial"/>
          <w:sz w:val="14"/>
          <w:szCs w:val="14"/>
          <w:color w:val="auto"/>
        </w:rPr>
      </w:pPr>
    </w:p>
    <w:p>
      <w:pPr>
        <w:ind w:left="1100" w:hanging="289"/>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leverage spending that drives visitor traffic by increasing visitor conversions;</w:t>
      </w:r>
    </w:p>
    <w:p>
      <w:pPr>
        <w:spacing w:after="0" w:line="2" w:lineRule="exact"/>
        <w:rPr>
          <w:rFonts w:ascii="Arial" w:cs="Arial" w:eastAsia="Arial" w:hAnsi="Arial"/>
          <w:sz w:val="16"/>
          <w:szCs w:val="16"/>
          <w:color w:val="auto"/>
        </w:rPr>
      </w:pPr>
    </w:p>
    <w:p>
      <w:pPr>
        <w:ind w:left="1100" w:hanging="289"/>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refine and improve performance by understanding which initiatives deliver the highest rate of return; and</w:t>
      </w:r>
    </w:p>
    <w:p>
      <w:pPr>
        <w:spacing w:after="0" w:line="2" w:lineRule="exact"/>
        <w:rPr>
          <w:rFonts w:ascii="Arial" w:cs="Arial" w:eastAsia="Arial" w:hAnsi="Arial"/>
          <w:sz w:val="16"/>
          <w:szCs w:val="16"/>
          <w:color w:val="auto"/>
        </w:rPr>
      </w:pPr>
    </w:p>
    <w:p>
      <w:pPr>
        <w:ind w:left="1100" w:hanging="289"/>
        <w:spacing w:after="0"/>
        <w:tabs>
          <w:tab w:leader="none" w:pos="11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 lead generation by providing a single platform that engages consumers through advertisements and listings on branded and third-party websites.</w:t>
      </w:r>
    </w:p>
    <w:p>
      <w:pPr>
        <w:spacing w:after="0" w:line="294"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74"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key elements of LivePerson’s business solutions strategy include:</w:t>
      </w:r>
    </w:p>
    <w:p>
      <w:pPr>
        <w:spacing w:after="0" w:line="96" w:lineRule="exact"/>
        <w:rPr>
          <w:sz w:val="20"/>
          <w:szCs w:val="20"/>
          <w:color w:val="auto"/>
        </w:rPr>
      </w:pPr>
    </w:p>
    <w:p>
      <w:pPr>
        <w:jc w:val="both"/>
        <w:ind w:firstLine="561"/>
        <w:spacing w:after="0" w:line="297" w:lineRule="auto"/>
        <w:rPr>
          <w:sz w:val="20"/>
          <w:szCs w:val="20"/>
          <w:color w:val="auto"/>
        </w:rPr>
      </w:pPr>
      <w:r>
        <w:rPr>
          <w:rFonts w:ascii="Arial" w:cs="Arial" w:eastAsia="Arial" w:hAnsi="Arial"/>
          <w:sz w:val="14"/>
          <w:szCs w:val="14"/>
          <w:b w:val="1"/>
          <w:bCs w:val="1"/>
          <w:i w:val="1"/>
          <w:iCs w:val="1"/>
          <w:color w:val="auto"/>
        </w:rPr>
        <w:t xml:space="preserve">Build awareness and drive adoption of the Conversational Space. </w:t>
      </w:r>
      <w:r>
        <w:rPr>
          <w:rFonts w:ascii="Arial" w:cs="Arial" w:eastAsia="Arial" w:hAnsi="Arial"/>
          <w:sz w:val="14"/>
          <w:szCs w:val="14"/>
          <w:color w:val="auto"/>
        </w:rPr>
        <w:t>LivePerson brought our first customer live on messaging in June 2016. Since that time, we have been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44"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A key component of our industry awareness marketing strategy has been to hold multiple global customer summits each year that target executives from enterprise customers and prospects, and feature a key theme within the Conversational Space, such as Apple Business Chat, Google Rich Business Messenger, IVR deflection or AI. LivePerson customers are the centerpoint of these summits, presenting why they chose LivePerson for conversational experiences, how they achieved success, and what type of ROI they have realized. Each attendee then receives a blueprint for how they can achieve similar outcomes. We have found this strategy to drive strong results for LivePerson, as we have seen a greater than 40% conversion rate on opportunities that were created or advanced as part of the customer summits. By year end 2019, we had brought approximately 300 customers live on messaging and increased adoption within our enterprise customers to nearly 55%. In addition, nearly 60% of messaging conversations had automation attached.</w:t>
      </w:r>
    </w:p>
    <w:p>
      <w:pPr>
        <w:spacing w:after="0" w:line="76"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In light of the coronavirus pandemic and recent shelter-in-place mandates, we have adapted our marketing strategy to include targeted digital experiences that emphasize the unique positioning of our messaging and AI offerings to help brands succeed in this new environment. Our marketing message has shifted from business improvement to business continuity and virtualization of the contact center.</w:t>
      </w:r>
    </w:p>
    <w:p>
      <w:pPr>
        <w:spacing w:after="0" w:line="72"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6"/>
          <w:szCs w:val="16"/>
          <w:color w:val="auto"/>
        </w:rPr>
        <w:t>Our strategy is to drive higher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60"/>
          </w:cols>
          <w:pgMar w:left="320" w:top="501" w:right="319" w:bottom="1440" w:gutter="0" w:footer="0" w:header="0"/>
        </w:sectPr>
      </w:pPr>
    </w:p>
    <w:bookmarkStart w:id="36" w:name="page37"/>
    <w:bookmarkEnd w:id="36"/>
    <w:p>
      <w:pPr>
        <w:jc w:val="both"/>
        <w:ind w:firstLine="561"/>
        <w:spacing w:after="0" w:line="285" w:lineRule="auto"/>
        <w:rPr>
          <w:sz w:val="20"/>
          <w:szCs w:val="20"/>
          <w:color w:val="auto"/>
        </w:rPr>
      </w:pPr>
      <w:r>
        <w:rPr>
          <w:rFonts w:ascii="Arial" w:cs="Arial" w:eastAsia="Arial" w:hAnsi="Arial"/>
          <w:sz w:val="14"/>
          <w:szCs w:val="14"/>
          <w:color w:val="auto"/>
        </w:rPr>
        <w:t>In order to drive broad messaging adoption, it is imperative that LiveEngage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plan overage alerts into two-way conversations. Finally, we connected to Facebook and WhatsApp digital advertisements, enabling consumers to initiate messaging conversations for marketing and customer care directly within the advertisement.</w:t>
      </w:r>
    </w:p>
    <w:p>
      <w:pPr>
        <w:spacing w:after="0" w:line="55"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Each channel and use case added opens the door to hundreds of millions of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w:t>
      </w:r>
    </w:p>
    <w:p>
      <w:pPr>
        <w:spacing w:after="0" w:line="74" w:lineRule="exact"/>
        <w:rPr>
          <w:sz w:val="20"/>
          <w:szCs w:val="20"/>
          <w:color w:val="auto"/>
        </w:rPr>
      </w:pPr>
    </w:p>
    <w:p>
      <w:pPr>
        <w:jc w:val="both"/>
        <w:ind w:right="20" w:firstLine="561"/>
        <w:spacing w:after="0" w:line="334" w:lineRule="auto"/>
        <w:rPr>
          <w:sz w:val="20"/>
          <w:szCs w:val="20"/>
          <w:color w:val="auto"/>
        </w:rPr>
      </w:pPr>
      <w:r>
        <w:rPr>
          <w:rFonts w:ascii="Arial" w:cs="Arial" w:eastAsia="Arial" w:hAnsi="Arial"/>
          <w:sz w:val="14"/>
          <w:szCs w:val="14"/>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19"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We believe that this strategy has influenced LivePerson’s enterprise and mid-market revenue retention rate, (the trailing-twelve-month change in total revenue from existing customers after upsells, downsells and attrition) which was within our target range of 105% to 115% for 2019. The benefit can also be seen in LivePerson’s average revenue per user (ARPU) for our enterprise and mid-market customers, which increased approximately 20% in 2019 to $345,000 from approximately $285,000 in 2018. In fact, in 2019, the ARPU for Enterprise customers on messaging was more than 5 times higher than those on just chat. We believe these ARPU trends are a clear indication of how LivePerson’s strategy to drive messaging adoption has successfully influenced our revenue growth by taking share from legacy communication channels. We plan to continue adding new messaging endpoints and use cases, and to drive higher adoption of existing ones within our customer base.</w:t>
      </w:r>
    </w:p>
    <w:p>
      <w:pPr>
        <w:spacing w:after="0" w:line="52"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b w:val="1"/>
          <w:bCs w:val="1"/>
          <w:i w:val="1"/>
          <w:iCs w:val="1"/>
          <w:color w:val="auto"/>
        </w:rPr>
        <w:t xml:space="preserve">Attract the industry’s best AI, machine learning and conversational talent. </w:t>
      </w:r>
      <w:r>
        <w:rPr>
          <w:rFonts w:ascii="Arial" w:cs="Arial" w:eastAsia="Arial" w:hAnsi="Arial"/>
          <w:sz w:val="14"/>
          <w:szCs w:val="14"/>
          <w:color w:val="auto"/>
        </w:rPr>
        <w:t>We believe that AI and machine learning are critical to successfully scaling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Conversational Space, and that in order to develop the industry’s leading technology, we need to attract the industry's best talent. In 2018, LivePerson recruited Alex Spinelli, key architect of the Alexa Operating System at Amazon.com, as our Global CTO. Under Mr. Spinelli’s leadership, LivePerson opened an Advanced Technology Center in Seattle, Washington, where the Company now has more than 125 of the industry’s brightest data scientists, machine learning engineers and automation engineers, many from firms such as Nike, Amazon.com, Microsoft and Target, who are working exclusively on applying AI to the Conversational Space. LivePerson also expanded its Mannheim, Germany development center, and added key development talent through the acquisitions of BotCentral in Mountain View, California and Conversable in Austin, Texas.</w:t>
      </w:r>
    </w:p>
    <w:p>
      <w:pPr>
        <w:spacing w:after="0" w:line="52" w:lineRule="exact"/>
        <w:rPr>
          <w:sz w:val="20"/>
          <w:szCs w:val="20"/>
          <w:color w:val="auto"/>
        </w:rPr>
      </w:pPr>
    </w:p>
    <w:p>
      <w:pPr>
        <w:jc w:val="both"/>
        <w:ind w:firstLine="561"/>
        <w:spacing w:after="0" w:line="292" w:lineRule="auto"/>
        <w:rPr>
          <w:sz w:val="20"/>
          <w:szCs w:val="20"/>
          <w:color w:val="auto"/>
        </w:rPr>
      </w:pPr>
      <w:r>
        <w:rPr>
          <w:rFonts w:ascii="Arial" w:cs="Arial" w:eastAsia="Arial" w:hAnsi="Arial"/>
          <w:sz w:val="14"/>
          <w:szCs w:val="14"/>
          <w:b w:val="1"/>
          <w:bCs w:val="1"/>
          <w:i w:val="1"/>
          <w:iCs w:val="1"/>
          <w:color w:val="auto"/>
        </w:rPr>
        <w:t xml:space="preserve">Bring to market best-in-class AI and machine learning technologies designed for the Conversational Space. </w:t>
      </w:r>
      <w:r>
        <w:rPr>
          <w:rFonts w:ascii="Arial" w:cs="Arial" w:eastAsia="Arial" w:hAnsi="Arial"/>
          <w:sz w:val="14"/>
          <w:szCs w:val="14"/>
          <w:color w:val="auto"/>
        </w:rPr>
        <w:t>We believe that in the last decade many vendors introduced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AI and bot offerings that created frustrating experiences for consumers and businesses alike, which in turn has eroded trust in automation. Many of these solutions have proven difficult to build and scale, and have been limited by stand alone implementations that lacked the measurement, reporting and human oversight of conversational platforms such as LiveEngage. In December 2018, LivePerson announced its patent pending AI engine that is designed to overcome these shortcomings and help brands rapidly bring to market conversational AI that can scale to millions of interactions, while increasing customer satisfaction and conversion rates.</w:t>
      </w:r>
    </w:p>
    <w:p>
      <w:pPr>
        <w:spacing w:after="0" w:line="49"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 xml:space="preserve">Unlike alternative solutions designed solely for IT departments, LivePerson’s Conversational AI was built to be used by developers </w:t>
      </w:r>
      <w:r>
        <w:rPr>
          <w:rFonts w:ascii="Arial" w:cs="Arial" w:eastAsia="Arial" w:hAnsi="Arial"/>
          <w:sz w:val="16"/>
          <w:szCs w:val="16"/>
          <w:i w:val="1"/>
          <w:iCs w:val="1"/>
          <w:color w:val="auto"/>
        </w:rPr>
        <w:t>and</w:t>
      </w:r>
      <w:r>
        <w:rPr>
          <w:rFonts w:ascii="Arial" w:cs="Arial" w:eastAsia="Arial" w:hAnsi="Arial"/>
          <w:sz w:val="16"/>
          <w:szCs w:val="16"/>
          <w:color w:val="auto"/>
        </w:rPr>
        <w:t xml:space="preserve">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Some of the key innovations behind LivePerson’s Conversational AI include:</w:t>
      </w:r>
    </w:p>
    <w:p>
      <w:pPr>
        <w:spacing w:after="0" w:line="96" w:lineRule="exact"/>
        <w:rPr>
          <w:sz w:val="20"/>
          <w:szCs w:val="20"/>
          <w:color w:val="auto"/>
        </w:rPr>
      </w:pPr>
    </w:p>
    <w:p>
      <w:pPr>
        <w:ind w:left="900" w:hanging="287"/>
        <w:spacing w:after="0" w:line="251"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ind w:left="900" w:hanging="287"/>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bot building software that is based on dialogue instead of workflow or code, so non-technical employees like contact center agents can design automations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60"/>
          </w:cols>
          <w:pgMar w:left="320" w:top="501" w:right="319" w:bottom="1440" w:gutter="0" w:footer="0" w:header="0"/>
        </w:sectPr>
      </w:pPr>
    </w:p>
    <w:bookmarkStart w:id="37" w:name="page38"/>
    <w:bookmarkEnd w:id="37"/>
    <w:p>
      <w:pPr>
        <w:ind w:left="900" w:hanging="287"/>
        <w:spacing w:after="0" w:line="287" w:lineRule="auto"/>
        <w:tabs>
          <w:tab w:leader="none" w:pos="9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leverage a data moat of hundreds of millions of conversations to feed the machine learning that rapidly and accurately detects consumer sentiment and intents in real-time. Use intent understanding for advanced routing, next-best actions, and to fully contain conversations with automation</w:t>
      </w:r>
    </w:p>
    <w:p>
      <w:pPr>
        <w:ind w:left="900" w:right="20" w:hanging="287"/>
        <w:spacing w:after="0" w:line="243"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establishing of contact center agents as bot managers, ensuring that every conversation is safeguarded by a human and that agents are continuously training the AI to be smarter and drive more successful outcomes</w:t>
      </w:r>
    </w:p>
    <w:p>
      <w:pPr>
        <w:spacing w:after="0" w:line="1" w:lineRule="exact"/>
        <w:rPr>
          <w:rFonts w:ascii="Arial" w:cs="Arial" w:eastAsia="Arial" w:hAnsi="Arial"/>
          <w:sz w:val="16"/>
          <w:szCs w:val="16"/>
          <w:color w:val="auto"/>
        </w:rPr>
      </w:pPr>
    </w:p>
    <w:p>
      <w:pPr>
        <w:ind w:left="900" w:right="20" w:hanging="287"/>
        <w:spacing w:after="0" w:line="243"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powerful Assist technology that multiplies the efficiency of agents by analyzing intents in real time and then suggesting next best actions, predefined content, and bots that can take over transactional work</w:t>
      </w:r>
    </w:p>
    <w:p>
      <w:pPr>
        <w:spacing w:after="0" w:line="1" w:lineRule="exact"/>
        <w:rPr>
          <w:rFonts w:ascii="Arial" w:cs="Arial" w:eastAsia="Arial" w:hAnsi="Arial"/>
          <w:sz w:val="16"/>
          <w:szCs w:val="16"/>
          <w:color w:val="auto"/>
        </w:rPr>
      </w:pPr>
    </w:p>
    <w:p>
      <w:pPr>
        <w:ind w:left="900" w:hanging="287"/>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pre-built templates for target verticals that provide out of the box support for the top intents and back-end integrations</w:t>
      </w:r>
    </w:p>
    <w:p>
      <w:pPr>
        <w:spacing w:after="0" w:line="2" w:lineRule="exact"/>
        <w:rPr>
          <w:rFonts w:ascii="Arial" w:cs="Arial" w:eastAsia="Arial" w:hAnsi="Arial"/>
          <w:sz w:val="16"/>
          <w:szCs w:val="16"/>
          <w:color w:val="auto"/>
        </w:rPr>
      </w:pPr>
    </w:p>
    <w:p>
      <w:pPr>
        <w:ind w:left="900" w:hanging="287"/>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to bootstrap conversations with existing transcripts, reducing design effort and speeding time to market</w:t>
      </w:r>
    </w:p>
    <w:p>
      <w:pPr>
        <w:spacing w:after="0" w:line="2" w:lineRule="exact"/>
        <w:rPr>
          <w:rFonts w:ascii="Arial" w:cs="Arial" w:eastAsia="Arial" w:hAnsi="Arial"/>
          <w:sz w:val="16"/>
          <w:szCs w:val="16"/>
          <w:color w:val="auto"/>
        </w:rPr>
      </w:pPr>
    </w:p>
    <w:p>
      <w:pPr>
        <w:ind w:left="900" w:hanging="287"/>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third-party AI natural language understanding (NLU) integration, so customers aren’t boxed into one vendor</w:t>
      </w:r>
    </w:p>
    <w:p>
      <w:pPr>
        <w:spacing w:after="0" w:line="2" w:lineRule="exact"/>
        <w:rPr>
          <w:rFonts w:ascii="Arial" w:cs="Arial" w:eastAsia="Arial" w:hAnsi="Arial"/>
          <w:sz w:val="16"/>
          <w:szCs w:val="16"/>
          <w:color w:val="auto"/>
        </w:rPr>
      </w:pPr>
    </w:p>
    <w:p>
      <w:pPr>
        <w:ind w:left="900" w:hanging="287"/>
        <w:spacing w:after="0" w:line="247"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AI analytics and reporting tailored to the Conversational Space, providing brands with immediate, actionable insights about their businesses and contact center operations</w:t>
      </w:r>
    </w:p>
    <w:p>
      <w:pPr>
        <w:spacing w:after="0" w:line="170" w:lineRule="exact"/>
        <w:rPr>
          <w:sz w:val="20"/>
          <w:szCs w:val="20"/>
          <w:color w:val="auto"/>
        </w:rPr>
      </w:pPr>
    </w:p>
    <w:p>
      <w:pPr>
        <w:jc w:val="both"/>
        <w:ind w:firstLine="561"/>
        <w:spacing w:after="0" w:line="334" w:lineRule="auto"/>
        <w:rPr>
          <w:sz w:val="20"/>
          <w:szCs w:val="20"/>
          <w:color w:val="auto"/>
        </w:rPr>
      </w:pPr>
      <w:r>
        <w:rPr>
          <w:rFonts w:ascii="Arial" w:cs="Arial" w:eastAsia="Arial" w:hAnsi="Arial"/>
          <w:sz w:val="14"/>
          <w:szCs w:val="14"/>
          <w:color w:val="auto"/>
        </w:rPr>
        <w:t>Our strategy is to continue to enhance the Conversational AI engine and related products,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19" w:lineRule="exact"/>
        <w:rPr>
          <w:sz w:val="20"/>
          <w:szCs w:val="20"/>
          <w:color w:val="auto"/>
        </w:rPr>
      </w:pPr>
    </w:p>
    <w:p>
      <w:pPr>
        <w:jc w:val="both"/>
        <w:ind w:firstLine="561"/>
        <w:spacing w:after="0" w:line="288" w:lineRule="auto"/>
        <w:rPr>
          <w:sz w:val="20"/>
          <w:szCs w:val="20"/>
          <w:color w:val="auto"/>
        </w:rPr>
      </w:pPr>
      <w:r>
        <w:rPr>
          <w:rFonts w:ascii="Arial" w:cs="Arial" w:eastAsia="Arial" w:hAnsi="Arial"/>
          <w:sz w:val="14"/>
          <w:szCs w:val="14"/>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4"/>
          <w:szCs w:val="14"/>
          <w:color w:val="auto"/>
        </w:rPr>
        <w:t>We believe that most contact center technology vendors incorrectly view messaging as a feature. They are content with building integrations to a messaging endpoint and offering messaging as just another product in their suite. LivePerson holds the perspective that messaging and AI are the foundation for transforming conversational experiences, disrupting how agents operate and how brands engage with consumers across service, sales, marketing, social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LivePerson is uniquely positioned to deliver this transformation due to our technology and expertise:</w:t>
      </w:r>
    </w:p>
    <w:p>
      <w:pPr>
        <w:spacing w:after="0" w:line="96" w:lineRule="exact"/>
        <w:rPr>
          <w:sz w:val="20"/>
          <w:szCs w:val="20"/>
          <w:color w:val="auto"/>
        </w:rPr>
      </w:pPr>
    </w:p>
    <w:p>
      <w:pPr>
        <w:jc w:val="both"/>
        <w:ind w:left="900" w:hanging="287"/>
        <w:spacing w:after="0" w:line="282" w:lineRule="auto"/>
        <w:tabs>
          <w:tab w:leader="none" w:pos="9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natural language understanding (NLU) providers.</w:t>
      </w:r>
    </w:p>
    <w:p>
      <w:pPr>
        <w:ind w:left="900" w:hanging="287"/>
        <w:spacing w:after="0" w:line="243"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has a data moat built on hundreds of millions of conversations across industries, geographies and use cases that is feeding the machine learning engines that power intent understanding.</w:t>
      </w:r>
    </w:p>
    <w:p>
      <w:pPr>
        <w:spacing w:after="0" w:line="1" w:lineRule="exact"/>
        <w:rPr>
          <w:rFonts w:ascii="Arial" w:cs="Arial" w:eastAsia="Arial" w:hAnsi="Arial"/>
          <w:sz w:val="16"/>
          <w:szCs w:val="16"/>
          <w:color w:val="auto"/>
        </w:rPr>
      </w:pPr>
    </w:p>
    <w:p>
      <w:pPr>
        <w:ind w:left="900" w:right="20" w:hanging="287"/>
        <w:spacing w:after="0" w:line="243"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platform has expanded to power conversations across a broad spectrum of channels and use cases, from traditional sales and customer service, to marketing, social, email, advertising and brick and mortar.</w:t>
      </w:r>
    </w:p>
    <w:p>
      <w:pPr>
        <w:spacing w:after="0" w:line="1" w:lineRule="exact"/>
        <w:rPr>
          <w:rFonts w:ascii="Arial" w:cs="Arial" w:eastAsia="Arial" w:hAnsi="Arial"/>
          <w:sz w:val="16"/>
          <w:szCs w:val="16"/>
          <w:color w:val="auto"/>
        </w:rPr>
      </w:pPr>
    </w:p>
    <w:p>
      <w:pPr>
        <w:jc w:val="both"/>
        <w:ind w:left="900" w:hanging="287"/>
        <w:spacing w:after="0" w:line="291" w:lineRule="auto"/>
        <w:tabs>
          <w:tab w:leader="none" w:pos="9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142" w:lineRule="exact"/>
        <w:rPr>
          <w:sz w:val="20"/>
          <w:szCs w:val="20"/>
          <w:color w:val="auto"/>
        </w:rPr>
      </w:pPr>
    </w:p>
    <w:p>
      <w:pPr>
        <w:jc w:val="both"/>
        <w:ind w:firstLine="561"/>
        <w:spacing w:after="0" w:line="247" w:lineRule="auto"/>
        <w:rPr>
          <w:sz w:val="20"/>
          <w:szCs w:val="20"/>
          <w:color w:val="auto"/>
        </w:rPr>
      </w:pPr>
      <w:r>
        <w:rPr>
          <w:rFonts w:ascii="Arial" w:cs="Arial" w:eastAsia="Arial" w:hAnsi="Arial"/>
          <w:sz w:val="16"/>
          <w:szCs w:val="16"/>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79" w:lineRule="exact"/>
        <w:rPr>
          <w:sz w:val="20"/>
          <w:szCs w:val="20"/>
          <w:color w:val="auto"/>
        </w:rPr>
      </w:pPr>
    </w:p>
    <w:p>
      <w:pPr>
        <w:jc w:val="both"/>
        <w:ind w:firstLine="191"/>
        <w:spacing w:after="0" w:line="306" w:lineRule="auto"/>
        <w:rPr>
          <w:sz w:val="20"/>
          <w:szCs w:val="20"/>
          <w:color w:val="auto"/>
        </w:rPr>
      </w:pPr>
      <w:r>
        <w:rPr>
          <w:rFonts w:ascii="Arial" w:cs="Arial" w:eastAsia="Arial" w:hAnsi="Arial"/>
          <w:sz w:val="14"/>
          <w:szCs w:val="14"/>
          <w:b w:val="1"/>
          <w:bCs w:val="1"/>
          <w:i w:val="1"/>
          <w:iCs w:val="1"/>
          <w:color w:val="auto"/>
        </w:rPr>
        <w:t xml:space="preserve">Strengthen our position in both existing and new industries. </w:t>
      </w:r>
      <w:r>
        <w:rPr>
          <w:rFonts w:ascii="Arial" w:cs="Arial" w:eastAsia="Arial" w:hAnsi="Arial"/>
          <w:sz w:val="14"/>
          <w:szCs w:val="14"/>
          <w:color w:val="auto"/>
        </w:rPr>
        <w:t>We plan to continue to develop our market position by increasing our customer base, and expanding within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installed base. We will continue to focus primarily on key target markets: consumer/retail, telecommunications, financial services, travel/hospitality, technology and automotive within both our enterprise and mid-market sectors, as well as the small business (SMB) sector. In 2019, we made strong inroads into new verticals with key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0"/>
          </w:cols>
          <w:pgMar w:left="320" w:top="501" w:right="319" w:bottom="1440" w:gutter="0" w:footer="0" w:header="0"/>
        </w:sectPr>
      </w:pPr>
    </w:p>
    <w:bookmarkStart w:id="38" w:name="page39"/>
    <w:bookmarkEnd w:id="38"/>
    <w:p>
      <w:pPr>
        <w:jc w:val="both"/>
        <w:ind w:right="20"/>
        <w:spacing w:after="0" w:line="263" w:lineRule="auto"/>
        <w:rPr>
          <w:sz w:val="20"/>
          <w:szCs w:val="20"/>
          <w:color w:val="auto"/>
        </w:rPr>
      </w:pPr>
      <w:r>
        <w:rPr>
          <w:rFonts w:ascii="Arial" w:cs="Arial" w:eastAsia="Arial" w:hAnsi="Arial"/>
          <w:sz w:val="16"/>
          <w:szCs w:val="16"/>
          <w:color w:val="auto"/>
        </w:rPr>
        <w:t>wins in the airline, foodservice and healthcare industries. We are increasingly structuring our field organization to emphasize our domain expertise and strengthen customer relationships across target industries.</w:t>
      </w:r>
    </w:p>
    <w:p>
      <w:pPr>
        <w:spacing w:after="0" w:line="64" w:lineRule="exact"/>
        <w:rPr>
          <w:sz w:val="20"/>
          <w:szCs w:val="20"/>
          <w:color w:val="auto"/>
        </w:rPr>
      </w:pPr>
    </w:p>
    <w:p>
      <w:pPr>
        <w:jc w:val="both"/>
        <w:ind w:firstLine="561"/>
        <w:spacing w:after="0" w:line="334" w:lineRule="auto"/>
        <w:rPr>
          <w:sz w:val="20"/>
          <w:szCs w:val="20"/>
          <w:color w:val="auto"/>
        </w:rPr>
      </w:pPr>
      <w:r>
        <w:rPr>
          <w:rFonts w:ascii="Arial" w:cs="Arial" w:eastAsia="Arial" w:hAnsi="Arial"/>
          <w:sz w:val="14"/>
          <w:szCs w:val="14"/>
          <w:b w:val="1"/>
          <w:bCs w:val="1"/>
          <w:i w:val="1"/>
          <w:iCs w:val="1"/>
          <w:color w:val="auto"/>
        </w:rPr>
        <w:t xml:space="preserve">Continue to build our international presence. </w:t>
      </w:r>
      <w:r>
        <w:rPr>
          <w:rFonts w:ascii="Arial" w:cs="Arial" w:eastAsia="Arial" w:hAnsi="Arial"/>
          <w:sz w:val="14"/>
          <w:szCs w:val="14"/>
          <w:color w:val="auto"/>
        </w:rPr>
        <w:t>We are focused on expanding our international revenue contribution, which increased to 41% of total revenue in 2019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2018, up from 37% in 2017. We are generating positive results from our recent investments in the Asia Pacific region, and recently opened an office in Latin America.</w:t>
      </w:r>
    </w:p>
    <w:p>
      <w:pPr>
        <w:spacing w:after="0" w:line="19" w:lineRule="exact"/>
        <w:rPr>
          <w:sz w:val="20"/>
          <w:szCs w:val="20"/>
          <w:color w:val="auto"/>
        </w:rPr>
      </w:pPr>
    </w:p>
    <w:p>
      <w:pPr>
        <w:jc w:val="both"/>
        <w:ind w:firstLine="230"/>
        <w:spacing w:after="0" w:line="247" w:lineRule="auto"/>
        <w:rPr>
          <w:sz w:val="20"/>
          <w:szCs w:val="20"/>
          <w:color w:val="auto"/>
        </w:rPr>
      </w:pPr>
      <w:r>
        <w:rPr>
          <w:rFonts w:ascii="Arial" w:cs="Arial" w:eastAsia="Arial" w:hAnsi="Arial"/>
          <w:sz w:val="16"/>
          <w:szCs w:val="16"/>
          <w:b w:val="1"/>
          <w:bCs w:val="1"/>
          <w:i w:val="1"/>
          <w:iCs w:val="1"/>
          <w:color w:val="auto"/>
        </w:rPr>
        <w:t xml:space="preserve">Leverage our open architecture to support partners and developers. </w:t>
      </w:r>
      <w:r>
        <w:rPr>
          <w:rFonts w:ascii="Arial" w:cs="Arial" w:eastAsia="Arial" w:hAnsi="Arial"/>
          <w:sz w:val="16"/>
          <w:szCs w:val="16"/>
          <w:color w:val="auto"/>
        </w:rPr>
        <w:t>In addition to developing our own applications, we continue to cultivate a partner eco-system capable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additional applications and services to our customers. We integrate into approximately a dozen third-party messaging endpoints including SMS, Facebook Messenger, Apple Business Chat, Google Rich Business Messenger, Line, WhatsApp, Alexa, Google Home, WeChat, Google Ad Lingo and Twitter, multiple IVR vendors and dozens of branded apps. LiveEngage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79"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integration capability that allows brands to more easily and rapidly customize conversations flows within LiveEngage through functions-as-a-service technology.</w:t>
      </w:r>
    </w:p>
    <w:p>
      <w:pPr>
        <w:spacing w:after="0" w:line="74"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b w:val="1"/>
          <w:bCs w:val="1"/>
          <w:i w:val="1"/>
          <w:iCs w:val="1"/>
          <w:color w:val="auto"/>
        </w:rPr>
        <w:t xml:space="preserve">Expand sales partnerships to broaden our presence and accelerate sales cycles. </w:t>
      </w:r>
      <w:r>
        <w:rPr>
          <w:rFonts w:ascii="Arial" w:cs="Arial" w:eastAsia="Arial" w:hAnsi="Arial"/>
          <w:sz w:val="14"/>
          <w:szCs w:val="14"/>
          <w:color w:val="auto"/>
        </w:rPr>
        <w:t>We are focused on broadening our market reach and accelerating sales cycles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LivePerson increased the number of partners focused on SMBs to more than 300 at year-end 2019, from over 150 at year-end 2018, and approximately 40 at the end of 2017. Approximately one quarter of all opportunities were influenced by partners in 2019, and we are focused on driving that contribution toward 40% longer term.</w:t>
      </w:r>
    </w:p>
    <w:p>
      <w:pPr>
        <w:spacing w:after="0" w:line="52"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16"/>
          <w:szCs w:val="16"/>
          <w:b w:val="1"/>
          <w:bCs w:val="1"/>
          <w:i w:val="1"/>
          <w:iCs w:val="1"/>
          <w:color w:val="auto"/>
        </w:rPr>
        <w:t xml:space="preserve">Maintain Market Leadership in Technology and Security Expertise. </w:t>
      </w:r>
      <w:r>
        <w:rPr>
          <w:rFonts w:ascii="Arial" w:cs="Arial" w:eastAsia="Arial" w:hAnsi="Arial"/>
          <w:sz w:val="16"/>
          <w:szCs w:val="16"/>
          <w:color w:val="auto"/>
        </w:rPr>
        <w:t>As described above, we are devoting significant resources to creating new products and enabling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7" w:lineRule="exact"/>
        <w:rPr>
          <w:sz w:val="20"/>
          <w:szCs w:val="20"/>
          <w:color w:val="auto"/>
        </w:rPr>
      </w:pPr>
    </w:p>
    <w:p>
      <w:pPr>
        <w:jc w:val="both"/>
        <w:ind w:firstLine="428"/>
        <w:spacing w:after="0" w:line="306" w:lineRule="auto"/>
        <w:rPr>
          <w:sz w:val="20"/>
          <w:szCs w:val="20"/>
          <w:color w:val="auto"/>
        </w:rPr>
      </w:pPr>
      <w:r>
        <w:rPr>
          <w:rFonts w:ascii="Arial" w:cs="Arial" w:eastAsia="Arial" w:hAnsi="Arial"/>
          <w:sz w:val="14"/>
          <w:szCs w:val="14"/>
          <w:b w:val="1"/>
          <w:bCs w:val="1"/>
          <w:i w:val="1"/>
          <w:iCs w:val="1"/>
          <w:color w:val="auto"/>
        </w:rPr>
        <w:t xml:space="preserve">Evaluate Strategic Alliances and Acquisitions When Appropriate. </w:t>
      </w:r>
      <w:r>
        <w:rPr>
          <w:rFonts w:ascii="Arial" w:cs="Arial" w:eastAsia="Arial" w:hAnsi="Arial"/>
          <w:sz w:val="14"/>
          <w:szCs w:val="14"/>
          <w:color w:val="auto"/>
        </w:rPr>
        <w:t>We have successfully integrated several acquisitions over the past decade. While we have in the past,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4"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Key Metrics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Financial overview of the three months ended June 30, 2020 compared to the three months ended June 30, 2019:</w:t>
      </w:r>
    </w:p>
    <w:p>
      <w:pPr>
        <w:spacing w:after="0" w:line="96" w:lineRule="exact"/>
        <w:rPr>
          <w:sz w:val="20"/>
          <w:szCs w:val="20"/>
          <w:color w:val="auto"/>
        </w:rPr>
      </w:pPr>
    </w:p>
    <w:p>
      <w:pPr>
        <w:ind w:left="980" w:hanging="2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revenue increased 29% to $91.6 million from $71.0 million.</w:t>
      </w:r>
    </w:p>
    <w:p>
      <w:pPr>
        <w:spacing w:after="0" w:line="49" w:lineRule="exact"/>
        <w:rPr>
          <w:rFonts w:ascii="Arial" w:cs="Arial" w:eastAsia="Arial" w:hAnsi="Arial"/>
          <w:sz w:val="16"/>
          <w:szCs w:val="16"/>
          <w:color w:val="auto"/>
        </w:rPr>
      </w:pPr>
    </w:p>
    <w:p>
      <w:pPr>
        <w:ind w:left="980" w:hanging="2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 from our Business segment increased 30% to $84.0 million from $64.8 million.</w:t>
      </w:r>
    </w:p>
    <w:p>
      <w:pPr>
        <w:spacing w:after="0" w:line="49" w:lineRule="exact"/>
        <w:rPr>
          <w:rFonts w:ascii="Arial" w:cs="Arial" w:eastAsia="Arial" w:hAnsi="Arial"/>
          <w:sz w:val="16"/>
          <w:szCs w:val="16"/>
          <w:color w:val="auto"/>
        </w:rPr>
      </w:pPr>
    </w:p>
    <w:p>
      <w:pPr>
        <w:ind w:left="980" w:hanging="2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Gross profit margin decreased to 70% from 75%.</w:t>
      </w:r>
    </w:p>
    <w:p>
      <w:pPr>
        <w:spacing w:after="0" w:line="49" w:lineRule="exact"/>
        <w:rPr>
          <w:rFonts w:ascii="Arial" w:cs="Arial" w:eastAsia="Arial" w:hAnsi="Arial"/>
          <w:sz w:val="16"/>
          <w:szCs w:val="16"/>
          <w:color w:val="auto"/>
        </w:rPr>
      </w:pPr>
    </w:p>
    <w:p>
      <w:pPr>
        <w:ind w:left="980" w:hanging="2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 and expenses increased 15% to $106.0 million from $92.0 million.</w:t>
      </w:r>
    </w:p>
    <w:p>
      <w:pPr>
        <w:spacing w:after="0" w:line="49" w:lineRule="exact"/>
        <w:rPr>
          <w:rFonts w:ascii="Arial" w:cs="Arial" w:eastAsia="Arial" w:hAnsi="Arial"/>
          <w:sz w:val="16"/>
          <w:szCs w:val="16"/>
          <w:color w:val="auto"/>
        </w:rPr>
      </w:pPr>
    </w:p>
    <w:p>
      <w:pPr>
        <w:ind w:left="980" w:hanging="2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loss decreased to $18.6 million from $24.0 million.</w:t>
      </w:r>
    </w:p>
    <w:p>
      <w:pPr>
        <w:spacing w:after="0" w:line="49" w:lineRule="exact"/>
        <w:rPr>
          <w:rFonts w:ascii="Arial" w:cs="Arial" w:eastAsia="Arial" w:hAnsi="Arial"/>
          <w:sz w:val="16"/>
          <w:szCs w:val="16"/>
          <w:color w:val="auto"/>
        </w:rPr>
      </w:pPr>
    </w:p>
    <w:p>
      <w:pPr>
        <w:ind w:left="980" w:right="20" w:hanging="286"/>
        <w:spacing w:after="0" w:line="26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Average annual revenue per enterprise and mid-market customer increased greater than 25% to approximately $395,000 for the trailing-twelve-months ended June 30, 2020, as compared to $310,000 for the trailing-twelve-months ended June 30, 2019.</w:t>
      </w:r>
    </w:p>
    <w:p>
      <w:pPr>
        <w:spacing w:after="0" w:line="17" w:lineRule="exact"/>
        <w:rPr>
          <w:rFonts w:ascii="Arial" w:cs="Arial" w:eastAsia="Arial" w:hAnsi="Arial"/>
          <w:sz w:val="16"/>
          <w:szCs w:val="16"/>
          <w:color w:val="auto"/>
        </w:rPr>
      </w:pPr>
    </w:p>
    <w:p>
      <w:pPr>
        <w:jc w:val="both"/>
        <w:ind w:left="980" w:hanging="286"/>
        <w:spacing w:after="0" w:line="25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 retention for enterprise and mid-market in the second quarter of 2020 exceeded our target range of 105% to 115%. Revenue retention was within that range in the second quarter of 2019. Revenue retention rate measures the percentage of revenue retained at quarter end, from full service customers that were on LiveEngage at the same period a year ago.</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Adjusted EBITDA and Adjusted Operating Income (Loss)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320" w:top="501" w:right="319" w:bottom="1440" w:gutter="0" w:footer="0" w:header="0"/>
        </w:sectPr>
      </w:pPr>
    </w:p>
    <w:bookmarkStart w:id="39" w:name="page40"/>
    <w:bookmarkEnd w:id="39"/>
    <w:p>
      <w:pPr>
        <w:ind w:right="40" w:firstLine="561"/>
        <w:spacing w:after="0" w:line="253"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166"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We have included adjusted EBITDA and adjusted operating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use of adjusted EBITDA has limitations as an analytical tool, and you should not consider it in isolation or as a substitute for analysis of our results as reported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GAAP. Some of these limitations are:</w:t>
      </w:r>
    </w:p>
    <w:p>
      <w:pPr>
        <w:spacing w:after="0" w:line="3" w:lineRule="exact"/>
        <w:rPr>
          <w:sz w:val="20"/>
          <w:szCs w:val="20"/>
          <w:color w:val="auto"/>
        </w:rPr>
      </w:pPr>
    </w:p>
    <w:p>
      <w:pPr>
        <w:ind w:left="980" w:right="20" w:hanging="286"/>
        <w:spacing w:after="0" w:line="278" w:lineRule="auto"/>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ind w:left="980" w:hanging="2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2" w:lineRule="exact"/>
        <w:rPr>
          <w:rFonts w:ascii="Arial" w:cs="Arial" w:eastAsia="Arial" w:hAnsi="Arial"/>
          <w:sz w:val="16"/>
          <w:szCs w:val="16"/>
          <w:color w:val="auto"/>
        </w:rPr>
      </w:pPr>
    </w:p>
    <w:p>
      <w:pPr>
        <w:ind w:left="980" w:hanging="2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consider the impact of acquisition costs;</w:t>
      </w:r>
    </w:p>
    <w:p>
      <w:pPr>
        <w:spacing w:after="0" w:line="2" w:lineRule="exact"/>
        <w:rPr>
          <w:rFonts w:ascii="Arial" w:cs="Arial" w:eastAsia="Arial" w:hAnsi="Arial"/>
          <w:sz w:val="16"/>
          <w:szCs w:val="16"/>
          <w:color w:val="auto"/>
        </w:rPr>
      </w:pPr>
    </w:p>
    <w:p>
      <w:pPr>
        <w:ind w:left="980" w:hanging="2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consider the impact of restructuring costs;</w:t>
      </w:r>
    </w:p>
    <w:p>
      <w:pPr>
        <w:spacing w:after="0" w:line="2" w:lineRule="exact"/>
        <w:rPr>
          <w:rFonts w:ascii="Arial" w:cs="Arial" w:eastAsia="Arial" w:hAnsi="Arial"/>
          <w:sz w:val="16"/>
          <w:szCs w:val="16"/>
          <w:color w:val="auto"/>
        </w:rPr>
      </w:pPr>
    </w:p>
    <w:p>
      <w:pPr>
        <w:ind w:left="980" w:hanging="2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consider the impact of other costs;</w:t>
      </w:r>
    </w:p>
    <w:p>
      <w:pPr>
        <w:spacing w:after="0" w:line="2" w:lineRule="exact"/>
        <w:rPr>
          <w:rFonts w:ascii="Arial" w:cs="Arial" w:eastAsia="Arial" w:hAnsi="Arial"/>
          <w:sz w:val="16"/>
          <w:szCs w:val="16"/>
          <w:color w:val="auto"/>
        </w:rPr>
      </w:pPr>
    </w:p>
    <w:p>
      <w:pPr>
        <w:ind w:left="980" w:hanging="2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 and</w:t>
      </w:r>
    </w:p>
    <w:p>
      <w:pPr>
        <w:spacing w:after="0" w:line="2" w:lineRule="exact"/>
        <w:rPr>
          <w:rFonts w:ascii="Arial" w:cs="Arial" w:eastAsia="Arial" w:hAnsi="Arial"/>
          <w:sz w:val="16"/>
          <w:szCs w:val="16"/>
          <w:color w:val="auto"/>
        </w:rPr>
      </w:pPr>
    </w:p>
    <w:p>
      <w:pPr>
        <w:ind w:left="980" w:hanging="286"/>
        <w:spacing w:after="0"/>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companies, including companies in our industry, may calculate adjusted EBITDA differently, which reduces its usefulness as a comparative measure.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2"/>
                <w:szCs w:val="12"/>
                <w:b w:val="1"/>
                <w:bCs w:val="1"/>
                <w:color w:val="auto"/>
              </w:rPr>
              <w:t>Six Months Ended June 30,</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2"/>
                <w:szCs w:val="12"/>
                <w:b w:val="1"/>
                <w:bCs w:val="1"/>
                <w:color w:val="auto"/>
              </w:rPr>
              <w:t>2020</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2"/>
                <w:szCs w:val="12"/>
                <w:b w:val="1"/>
                <w:bCs w:val="1"/>
                <w:color w:val="auto"/>
              </w:rPr>
              <w:t>2020</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2"/>
                <w:szCs w:val="12"/>
                <w:b w:val="1"/>
                <w:bCs w:val="1"/>
                <w:color w:val="auto"/>
              </w:rPr>
              <w:t>2.019</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20"/>
              <w:spacing w:after="0"/>
              <w:rPr>
                <w:sz w:val="20"/>
                <w:szCs w:val="20"/>
                <w:color w:val="auto"/>
              </w:rPr>
            </w:pPr>
            <w:r>
              <w:rPr>
                <w:rFonts w:ascii="Arial" w:cs="Arial" w:eastAsia="Arial" w:hAnsi="Arial"/>
                <w:sz w:val="12"/>
                <w:szCs w:val="12"/>
                <w:b w:val="1"/>
                <w:bCs w:val="1"/>
                <w:color w:val="auto"/>
              </w:rPr>
              <w:t>Reconciliation of Adjusted EBITDA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00" w:type="dxa"/>
            <w:vAlign w:val="bottom"/>
            <w:shd w:val="clear" w:color="auto" w:fill="CCFFCC"/>
          </w:tcPr>
          <w:p>
            <w:pPr>
              <w:ind w:left="20"/>
              <w:spacing w:after="0"/>
              <w:rPr>
                <w:sz w:val="20"/>
                <w:szCs w:val="20"/>
                <w:color w:val="auto"/>
              </w:rPr>
            </w:pPr>
            <w:r>
              <w:rPr>
                <w:rFonts w:ascii="Arial" w:cs="Arial" w:eastAsia="Arial" w:hAnsi="Arial"/>
                <w:sz w:val="12"/>
                <w:szCs w:val="12"/>
                <w:color w:val="auto"/>
              </w:rPr>
              <w:t>GAAP net loss</w:t>
            </w:r>
          </w:p>
        </w:tc>
        <w:tc>
          <w:tcPr>
            <w:tcW w:w="260" w:type="dxa"/>
            <w:vAlign w:val="bottom"/>
            <w:shd w:val="clear" w:color="auto" w:fill="CCFFCC"/>
          </w:tcPr>
          <w:p>
            <w:pPr>
              <w:jc w:val="right"/>
              <w:ind w:right="11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(18,627)</w:t>
            </w:r>
          </w:p>
        </w:tc>
        <w:tc>
          <w:tcPr>
            <w:tcW w:w="600" w:type="dxa"/>
            <w:vAlign w:val="bottom"/>
            <w:gridSpan w:val="2"/>
            <w:shd w:val="clear" w:color="auto" w:fill="CCFFCC"/>
          </w:tcPr>
          <w:p>
            <w:pPr>
              <w:jc w:val="right"/>
              <w:ind w:right="98"/>
              <w:spacing w:after="0"/>
              <w:rPr>
                <w:sz w:val="20"/>
                <w:szCs w:val="20"/>
                <w:color w:val="auto"/>
              </w:rPr>
            </w:pPr>
            <w:r>
              <w:rPr>
                <w:rFonts w:ascii="Arial" w:cs="Arial" w:eastAsia="Arial" w:hAnsi="Arial"/>
                <w:sz w:val="12"/>
                <w:szCs w:val="12"/>
                <w:color w:val="auto"/>
              </w:rPr>
              <w:t>$</w:t>
            </w:r>
          </w:p>
        </w:tc>
        <w:tc>
          <w:tcPr>
            <w:tcW w:w="900" w:type="dxa"/>
            <w:vAlign w:val="bottom"/>
            <w:shd w:val="clear" w:color="auto" w:fill="CCFFCC"/>
          </w:tcPr>
          <w:p>
            <w:pPr>
              <w:jc w:val="right"/>
              <w:ind w:right="18"/>
              <w:spacing w:after="0"/>
              <w:rPr>
                <w:sz w:val="20"/>
                <w:szCs w:val="20"/>
                <w:color w:val="auto"/>
              </w:rPr>
            </w:pPr>
            <w:r>
              <w:rPr>
                <w:rFonts w:ascii="Arial" w:cs="Arial" w:eastAsia="Arial" w:hAnsi="Arial"/>
                <w:sz w:val="12"/>
                <w:szCs w:val="12"/>
                <w:color w:val="auto"/>
              </w:rPr>
              <w:t>(23,987)</w:t>
            </w:r>
          </w:p>
        </w:tc>
        <w:tc>
          <w:tcPr>
            <w:tcW w:w="600" w:type="dxa"/>
            <w:vAlign w:val="bottom"/>
            <w:gridSpan w:val="2"/>
            <w:shd w:val="clear" w:color="auto" w:fill="CCFFCC"/>
          </w:tcPr>
          <w:p>
            <w:pPr>
              <w:jc w:val="right"/>
              <w:ind w:right="118"/>
              <w:spacing w:after="0"/>
              <w:rPr>
                <w:sz w:val="20"/>
                <w:szCs w:val="20"/>
                <w:color w:val="auto"/>
              </w:rPr>
            </w:pPr>
            <w:r>
              <w:rPr>
                <w:rFonts w:ascii="Arial" w:cs="Arial" w:eastAsia="Arial" w:hAnsi="Arial"/>
                <w:sz w:val="12"/>
                <w:szCs w:val="12"/>
                <w:color w:val="auto"/>
              </w:rPr>
              <w:t>$</w:t>
            </w:r>
          </w:p>
        </w:tc>
        <w:tc>
          <w:tcPr>
            <w:tcW w:w="860" w:type="dxa"/>
            <w:vAlign w:val="bottom"/>
            <w:shd w:val="clear" w:color="auto" w:fill="CCFFCC"/>
          </w:tcPr>
          <w:p>
            <w:pPr>
              <w:jc w:val="right"/>
              <w:ind w:right="17"/>
              <w:spacing w:after="0"/>
              <w:rPr>
                <w:sz w:val="20"/>
                <w:szCs w:val="20"/>
                <w:color w:val="auto"/>
              </w:rPr>
            </w:pPr>
            <w:r>
              <w:rPr>
                <w:rFonts w:ascii="Arial" w:cs="Arial" w:eastAsia="Arial" w:hAnsi="Arial"/>
                <w:sz w:val="12"/>
                <w:szCs w:val="12"/>
                <w:color w:val="auto"/>
              </w:rPr>
              <w:t>(55,628)</w:t>
            </w:r>
          </w:p>
        </w:tc>
        <w:tc>
          <w:tcPr>
            <w:tcW w:w="560" w:type="dxa"/>
            <w:vAlign w:val="bottom"/>
            <w:gridSpan w:val="2"/>
            <w:shd w:val="clear" w:color="auto" w:fill="CCFFCC"/>
          </w:tcPr>
          <w:p>
            <w:pPr>
              <w:jc w:val="right"/>
              <w:ind w:right="98"/>
              <w:spacing w:after="0"/>
              <w:rPr>
                <w:sz w:val="20"/>
                <w:szCs w:val="20"/>
                <w:color w:val="auto"/>
              </w:rPr>
            </w:pPr>
            <w:r>
              <w:rPr>
                <w:rFonts w:ascii="Arial" w:cs="Arial" w:eastAsia="Arial" w:hAnsi="Arial"/>
                <w:sz w:val="12"/>
                <w:szCs w:val="12"/>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(42,877)</w:t>
            </w:r>
          </w:p>
        </w:tc>
        <w:tc>
          <w:tcPr>
            <w:tcW w:w="3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220"/>
              <w:spacing w:after="0"/>
              <w:rPr>
                <w:sz w:val="20"/>
                <w:szCs w:val="20"/>
                <w:color w:val="auto"/>
              </w:rPr>
            </w:pPr>
            <w:r>
              <w:rPr>
                <w:rFonts w:ascii="Arial" w:cs="Arial" w:eastAsia="Arial" w:hAnsi="Arial"/>
                <w:sz w:val="12"/>
                <w:szCs w:val="12"/>
                <w:color w:val="auto"/>
              </w:rPr>
              <w:t>Amortization of purchased intangibles</w:t>
            </w:r>
          </w:p>
        </w:tc>
        <w:tc>
          <w:tcPr>
            <w:tcW w:w="26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2"/>
                <w:szCs w:val="12"/>
                <w:color w:val="auto"/>
              </w:rPr>
              <w:t>688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723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2"/>
                <w:szCs w:val="12"/>
                <w:color w:val="auto"/>
              </w:rPr>
              <w:t>1,377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2"/>
                <w:szCs w:val="12"/>
                <w:color w:val="auto"/>
              </w:rPr>
              <w:t>1,469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00" w:type="dxa"/>
            <w:vAlign w:val="bottom"/>
            <w:shd w:val="clear" w:color="auto" w:fill="CCFFCC"/>
          </w:tcPr>
          <w:p>
            <w:pPr>
              <w:ind w:left="220"/>
              <w:spacing w:after="0"/>
              <w:rPr>
                <w:sz w:val="20"/>
                <w:szCs w:val="20"/>
                <w:color w:val="auto"/>
              </w:rPr>
            </w:pPr>
            <w:r>
              <w:rPr>
                <w:rFonts w:ascii="Arial" w:cs="Arial" w:eastAsia="Arial" w:hAnsi="Arial"/>
                <w:sz w:val="12"/>
                <w:szCs w:val="12"/>
                <w:color w:val="auto"/>
              </w:rPr>
              <w:t>Stock-based compensation</w:t>
            </w: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15,945</w:t>
            </w: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9,305</w:t>
            </w:r>
          </w:p>
        </w:tc>
        <w:tc>
          <w:tcPr>
            <w:tcW w:w="3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57"/>
              <w:spacing w:after="0"/>
              <w:rPr>
                <w:sz w:val="20"/>
                <w:szCs w:val="20"/>
                <w:color w:val="auto"/>
              </w:rPr>
            </w:pPr>
            <w:r>
              <w:rPr>
                <w:rFonts w:ascii="Arial" w:cs="Arial" w:eastAsia="Arial" w:hAnsi="Arial"/>
                <w:sz w:val="12"/>
                <w:szCs w:val="12"/>
                <w:color w:val="auto"/>
              </w:rPr>
              <w:t>30,642</w:t>
            </w:r>
          </w:p>
        </w:tc>
        <w:tc>
          <w:tcPr>
            <w:tcW w:w="3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16,471</w:t>
            </w:r>
          </w:p>
        </w:tc>
        <w:tc>
          <w:tcPr>
            <w:tcW w:w="3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220"/>
              <w:spacing w:after="0"/>
              <w:rPr>
                <w:sz w:val="20"/>
                <w:szCs w:val="20"/>
                <w:color w:val="auto"/>
              </w:rPr>
            </w:pPr>
            <w:r>
              <w:rPr>
                <w:rFonts w:ascii="Arial" w:cs="Arial" w:eastAsia="Arial" w:hAnsi="Arial"/>
                <w:sz w:val="12"/>
                <w:szCs w:val="12"/>
                <w:color w:val="auto"/>
              </w:rPr>
              <w:t>Contingent earn-out adjustments</w:t>
            </w:r>
          </w:p>
        </w:tc>
        <w:tc>
          <w:tcPr>
            <w:tcW w:w="26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2"/>
                <w:szCs w:val="12"/>
                <w:color w:val="auto"/>
              </w:rPr>
              <w:t>(263)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400" w:type="dxa"/>
            <w:vAlign w:val="bottom"/>
            <w:shd w:val="clear" w:color="auto" w:fill="CCFFCC"/>
          </w:tcPr>
          <w:p>
            <w:pPr>
              <w:ind w:left="220"/>
              <w:spacing w:after="0"/>
              <w:rPr>
                <w:sz w:val="20"/>
                <w:szCs w:val="20"/>
                <w:color w:val="auto"/>
              </w:rPr>
            </w:pPr>
            <w:r>
              <w:rPr>
                <w:rFonts w:ascii="Arial" w:cs="Arial" w:eastAsia="Arial" w:hAnsi="Arial"/>
                <w:sz w:val="12"/>
                <w:szCs w:val="12"/>
                <w:color w:val="auto"/>
              </w:rPr>
              <w:t>Restructuring costs</w:t>
            </w:r>
          </w:p>
        </w:tc>
        <w:tc>
          <w:tcPr>
            <w:tcW w:w="260" w:type="dxa"/>
            <w:vAlign w:val="bottom"/>
            <w:shd w:val="clear" w:color="auto" w:fill="CCFFCC"/>
          </w:tcPr>
          <w:p>
            <w:pPr>
              <w:spacing w:after="0"/>
              <w:rPr>
                <w:sz w:val="13"/>
                <w:szCs w:val="13"/>
                <w:color w:val="auto"/>
              </w:rPr>
            </w:pPr>
          </w:p>
        </w:tc>
        <w:tc>
          <w:tcPr>
            <w:tcW w:w="88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90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205</w:t>
            </w:r>
          </w:p>
        </w:tc>
        <w:tc>
          <w:tcPr>
            <w:tcW w:w="32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w w:val="81"/>
              </w:rPr>
              <w:t>(1)</w:t>
            </w:r>
          </w:p>
        </w:tc>
        <w:tc>
          <w:tcPr>
            <w:tcW w:w="280" w:type="dxa"/>
            <w:vAlign w:val="bottom"/>
            <w:shd w:val="clear" w:color="auto" w:fill="CCFFCC"/>
          </w:tcPr>
          <w:p>
            <w:pPr>
              <w:spacing w:after="0"/>
              <w:rPr>
                <w:sz w:val="13"/>
                <w:szCs w:val="13"/>
                <w:color w:val="auto"/>
              </w:rPr>
            </w:pPr>
          </w:p>
        </w:tc>
        <w:tc>
          <w:tcPr>
            <w:tcW w:w="860" w:type="dxa"/>
            <w:vAlign w:val="bottom"/>
            <w:shd w:val="clear" w:color="auto" w:fill="CCFFCC"/>
          </w:tcPr>
          <w:p>
            <w:pPr>
              <w:jc w:val="right"/>
              <w:ind w:right="57"/>
              <w:spacing w:after="0"/>
              <w:rPr>
                <w:sz w:val="20"/>
                <w:szCs w:val="20"/>
                <w:color w:val="auto"/>
              </w:rPr>
            </w:pPr>
            <w:r>
              <w:rPr>
                <w:rFonts w:ascii="Arial" w:cs="Arial" w:eastAsia="Arial" w:hAnsi="Arial"/>
                <w:sz w:val="12"/>
                <w:szCs w:val="12"/>
                <w:color w:val="auto"/>
              </w:rPr>
              <w:t>3,193</w:t>
            </w:r>
          </w:p>
        </w:tc>
        <w:tc>
          <w:tcPr>
            <w:tcW w:w="32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w w:val="81"/>
              </w:rPr>
              <w:t>(3)</w:t>
            </w:r>
          </w:p>
        </w:tc>
        <w:tc>
          <w:tcPr>
            <w:tcW w:w="240" w:type="dxa"/>
            <w:vAlign w:val="bottom"/>
            <w:shd w:val="clear" w:color="auto" w:fill="CCFFCC"/>
          </w:tcPr>
          <w:p>
            <w:pPr>
              <w:spacing w:after="0"/>
              <w:rPr>
                <w:sz w:val="13"/>
                <w:szCs w:val="13"/>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484</w:t>
            </w:r>
          </w:p>
        </w:tc>
        <w:tc>
          <w:tcPr>
            <w:tcW w:w="340" w:type="dxa"/>
            <w:vAlign w:val="bottom"/>
            <w:vMerge w:val="restart"/>
            <w:shd w:val="clear" w:color="auto" w:fill="CCFFCC"/>
          </w:tcPr>
          <w:p>
            <w:pPr>
              <w:jc w:val="right"/>
              <w:ind w:right="181"/>
              <w:spacing w:after="0"/>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62"/>
        </w:trPr>
        <w:tc>
          <w:tcPr>
            <w:tcW w:w="5400" w:type="dxa"/>
            <w:vAlign w:val="bottom"/>
            <w:tcBorders>
              <w:bottom w:val="single" w:sz="8" w:color="CCFFCC"/>
            </w:tcBorders>
            <w:shd w:val="clear" w:color="auto" w:fill="CCFFCC"/>
          </w:tcPr>
          <w:p>
            <w:pPr>
              <w:spacing w:after="0"/>
              <w:rPr>
                <w:sz w:val="5"/>
                <w:szCs w:val="5"/>
                <w:color w:val="auto"/>
              </w:rPr>
            </w:pPr>
          </w:p>
        </w:tc>
        <w:tc>
          <w:tcPr>
            <w:tcW w:w="260" w:type="dxa"/>
            <w:vAlign w:val="bottom"/>
            <w:tcBorders>
              <w:bottom w:val="single" w:sz="8" w:color="CCFFCC"/>
            </w:tcBorders>
            <w:shd w:val="clear" w:color="auto" w:fill="CCFFCC"/>
          </w:tcPr>
          <w:p>
            <w:pPr>
              <w:spacing w:after="0"/>
              <w:rPr>
                <w:sz w:val="5"/>
                <w:szCs w:val="5"/>
                <w:color w:val="auto"/>
              </w:rPr>
            </w:pPr>
          </w:p>
        </w:tc>
        <w:tc>
          <w:tcPr>
            <w:tcW w:w="880" w:type="dxa"/>
            <w:vAlign w:val="bottom"/>
            <w:tcBorders>
              <w:bottom w:val="single" w:sz="8" w:color="CCFFCC"/>
            </w:tcBorders>
            <w:shd w:val="clear" w:color="auto" w:fill="CCFFCC"/>
          </w:tcPr>
          <w:p>
            <w:pPr>
              <w:spacing w:after="0"/>
              <w:rPr>
                <w:sz w:val="5"/>
                <w:szCs w:val="5"/>
                <w:color w:val="auto"/>
              </w:rPr>
            </w:pPr>
          </w:p>
        </w:tc>
        <w:tc>
          <w:tcPr>
            <w:tcW w:w="340" w:type="dxa"/>
            <w:vAlign w:val="bottom"/>
            <w:tcBorders>
              <w:bottom w:val="single" w:sz="8" w:color="CCFFCC"/>
            </w:tcBorders>
            <w:shd w:val="clear" w:color="auto" w:fill="CCFFCC"/>
          </w:tcPr>
          <w:p>
            <w:pPr>
              <w:spacing w:after="0"/>
              <w:rPr>
                <w:sz w:val="5"/>
                <w:szCs w:val="5"/>
                <w:color w:val="auto"/>
              </w:rPr>
            </w:pPr>
          </w:p>
        </w:tc>
        <w:tc>
          <w:tcPr>
            <w:tcW w:w="260" w:type="dxa"/>
            <w:vAlign w:val="bottom"/>
            <w:tcBorders>
              <w:bottom w:val="single" w:sz="8" w:color="CCFFCC"/>
            </w:tcBorders>
            <w:shd w:val="clear" w:color="auto" w:fill="CCFFCC"/>
          </w:tcPr>
          <w:p>
            <w:pPr>
              <w:spacing w:after="0"/>
              <w:rPr>
                <w:sz w:val="5"/>
                <w:szCs w:val="5"/>
                <w:color w:val="auto"/>
              </w:rPr>
            </w:pPr>
          </w:p>
        </w:tc>
        <w:tc>
          <w:tcPr>
            <w:tcW w:w="900" w:type="dxa"/>
            <w:vAlign w:val="bottom"/>
            <w:tcBorders>
              <w:bottom w:val="single" w:sz="8" w:color="CCFFCC"/>
            </w:tcBorders>
            <w:shd w:val="clear" w:color="auto" w:fill="CCFFCC"/>
          </w:tcPr>
          <w:p>
            <w:pPr>
              <w:spacing w:after="0"/>
              <w:rPr>
                <w:sz w:val="5"/>
                <w:szCs w:val="5"/>
                <w:color w:val="auto"/>
              </w:rPr>
            </w:pPr>
          </w:p>
        </w:tc>
        <w:tc>
          <w:tcPr>
            <w:tcW w:w="320" w:type="dxa"/>
            <w:vAlign w:val="bottom"/>
            <w:tcBorders>
              <w:bottom w:val="single" w:sz="8" w:color="CCFFCC"/>
            </w:tcBorders>
            <w:vMerge w:val="continue"/>
            <w:shd w:val="clear" w:color="auto" w:fill="CCFFCC"/>
          </w:tcPr>
          <w:p>
            <w:pPr>
              <w:spacing w:after="0"/>
              <w:rPr>
                <w:sz w:val="5"/>
                <w:szCs w:val="5"/>
                <w:color w:val="auto"/>
              </w:rPr>
            </w:pPr>
          </w:p>
        </w:tc>
        <w:tc>
          <w:tcPr>
            <w:tcW w:w="280" w:type="dxa"/>
            <w:vAlign w:val="bottom"/>
            <w:tcBorders>
              <w:bottom w:val="single" w:sz="8" w:color="CCFFCC"/>
            </w:tcBorders>
            <w:shd w:val="clear" w:color="auto" w:fill="CCFFCC"/>
          </w:tcPr>
          <w:p>
            <w:pPr>
              <w:spacing w:after="0"/>
              <w:rPr>
                <w:sz w:val="5"/>
                <w:szCs w:val="5"/>
                <w:color w:val="auto"/>
              </w:rPr>
            </w:pPr>
          </w:p>
        </w:tc>
        <w:tc>
          <w:tcPr>
            <w:tcW w:w="860" w:type="dxa"/>
            <w:vAlign w:val="bottom"/>
            <w:tcBorders>
              <w:bottom w:val="single" w:sz="8" w:color="CCFFCC"/>
            </w:tcBorders>
            <w:shd w:val="clear" w:color="auto" w:fill="CCFFCC"/>
          </w:tcPr>
          <w:p>
            <w:pPr>
              <w:spacing w:after="0"/>
              <w:rPr>
                <w:sz w:val="5"/>
                <w:szCs w:val="5"/>
                <w:color w:val="auto"/>
              </w:rPr>
            </w:pPr>
          </w:p>
        </w:tc>
        <w:tc>
          <w:tcPr>
            <w:tcW w:w="320" w:type="dxa"/>
            <w:vAlign w:val="bottom"/>
            <w:tcBorders>
              <w:bottom w:val="single" w:sz="8" w:color="CCFFCC"/>
            </w:tcBorders>
            <w:vMerge w:val="continue"/>
            <w:shd w:val="clear" w:color="auto" w:fill="CCFFCC"/>
          </w:tcPr>
          <w:p>
            <w:pPr>
              <w:spacing w:after="0"/>
              <w:rPr>
                <w:sz w:val="5"/>
                <w:szCs w:val="5"/>
                <w:color w:val="auto"/>
              </w:rPr>
            </w:pPr>
          </w:p>
        </w:tc>
        <w:tc>
          <w:tcPr>
            <w:tcW w:w="240" w:type="dxa"/>
            <w:vAlign w:val="bottom"/>
            <w:tcBorders>
              <w:bottom w:val="single" w:sz="8" w:color="CCFFCC"/>
            </w:tcBorders>
            <w:shd w:val="clear" w:color="auto" w:fill="CCFFCC"/>
          </w:tcPr>
          <w:p>
            <w:pPr>
              <w:spacing w:after="0"/>
              <w:rPr>
                <w:sz w:val="5"/>
                <w:szCs w:val="5"/>
                <w:color w:val="auto"/>
              </w:rPr>
            </w:pPr>
          </w:p>
        </w:tc>
        <w:tc>
          <w:tcPr>
            <w:tcW w:w="860" w:type="dxa"/>
            <w:vAlign w:val="bottom"/>
            <w:tcBorders>
              <w:bottom w:val="single" w:sz="8" w:color="CCFFCC"/>
            </w:tcBorders>
            <w:shd w:val="clear" w:color="auto" w:fill="CCFFCC"/>
          </w:tcPr>
          <w:p>
            <w:pPr>
              <w:spacing w:after="0"/>
              <w:rPr>
                <w:sz w:val="5"/>
                <w:szCs w:val="5"/>
                <w:color w:val="auto"/>
              </w:rPr>
            </w:pPr>
          </w:p>
        </w:tc>
        <w:tc>
          <w:tcPr>
            <w:tcW w:w="340" w:type="dxa"/>
            <w:vAlign w:val="bottom"/>
            <w:tcBorders>
              <w:bottom w:val="single" w:sz="8" w:color="CCFFCC"/>
            </w:tcBorders>
            <w:vMerge w:val="continue"/>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220"/>
              <w:spacing w:after="0"/>
              <w:rPr>
                <w:sz w:val="20"/>
                <w:szCs w:val="20"/>
                <w:color w:val="auto"/>
              </w:rPr>
            </w:pPr>
            <w:r>
              <w:rPr>
                <w:rFonts w:ascii="Arial" w:cs="Arial" w:eastAsia="Arial" w:hAnsi="Arial"/>
                <w:sz w:val="12"/>
                <w:szCs w:val="12"/>
                <w:color w:val="auto"/>
              </w:rPr>
              <w:t>Depreciation</w:t>
            </w:r>
          </w:p>
        </w:tc>
        <w:tc>
          <w:tcPr>
            <w:tcW w:w="26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2"/>
                <w:szCs w:val="12"/>
                <w:color w:val="auto"/>
              </w:rPr>
              <w:t>5,738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3,762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2"/>
                <w:szCs w:val="12"/>
                <w:color w:val="auto"/>
              </w:rPr>
              <w:t>11,274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2"/>
                <w:szCs w:val="12"/>
                <w:color w:val="auto"/>
              </w:rPr>
              <w:t>7,643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400" w:type="dxa"/>
            <w:vAlign w:val="bottom"/>
            <w:shd w:val="clear" w:color="auto" w:fill="CCFFCC"/>
          </w:tcPr>
          <w:p>
            <w:pPr>
              <w:ind w:left="220"/>
              <w:spacing w:after="0" w:line="111" w:lineRule="exact"/>
              <w:rPr>
                <w:sz w:val="20"/>
                <w:szCs w:val="20"/>
                <w:color w:val="auto"/>
              </w:rPr>
            </w:pPr>
            <w:r>
              <w:rPr>
                <w:rFonts w:ascii="Arial" w:cs="Arial" w:eastAsia="Arial" w:hAnsi="Arial"/>
                <w:sz w:val="12"/>
                <w:szCs w:val="12"/>
                <w:color w:val="auto"/>
              </w:rPr>
              <w:t>Other litigation and consulting costs</w:t>
            </w:r>
          </w:p>
        </w:tc>
        <w:tc>
          <w:tcPr>
            <w:tcW w:w="260" w:type="dxa"/>
            <w:vAlign w:val="bottom"/>
            <w:shd w:val="clear" w:color="auto" w:fill="CCFFCC"/>
          </w:tcPr>
          <w:p>
            <w:pPr>
              <w:spacing w:after="0"/>
              <w:rPr>
                <w:sz w:val="9"/>
                <w:szCs w:val="9"/>
                <w:color w:val="auto"/>
              </w:rPr>
            </w:pPr>
          </w:p>
        </w:tc>
        <w:tc>
          <w:tcPr>
            <w:tcW w:w="880" w:type="dxa"/>
            <w:vAlign w:val="bottom"/>
            <w:shd w:val="clear" w:color="auto" w:fill="CCFFCC"/>
          </w:tcPr>
          <w:p>
            <w:pPr>
              <w:jc w:val="right"/>
              <w:ind w:right="37"/>
              <w:spacing w:after="0" w:line="111" w:lineRule="exact"/>
              <w:rPr>
                <w:sz w:val="20"/>
                <w:szCs w:val="20"/>
                <w:color w:val="auto"/>
              </w:rPr>
            </w:pPr>
            <w:r>
              <w:rPr>
                <w:rFonts w:ascii="Arial" w:cs="Arial" w:eastAsia="Arial" w:hAnsi="Arial"/>
                <w:sz w:val="12"/>
                <w:szCs w:val="12"/>
                <w:color w:val="auto"/>
              </w:rPr>
              <w:t>1,338</w:t>
            </w:r>
          </w:p>
        </w:tc>
        <w:tc>
          <w:tcPr>
            <w:tcW w:w="340" w:type="dxa"/>
            <w:vAlign w:val="bottom"/>
            <w:vMerge w:val="restart"/>
            <w:shd w:val="clear" w:color="auto" w:fill="CCFFCC"/>
          </w:tcPr>
          <w:p>
            <w:pPr>
              <w:jc w:val="right"/>
              <w:ind w:right="173"/>
              <w:spacing w:after="0"/>
              <w:rPr>
                <w:sz w:val="20"/>
                <w:szCs w:val="20"/>
                <w:color w:val="auto"/>
              </w:rPr>
            </w:pPr>
            <w:r>
              <w:rPr>
                <w:rFonts w:ascii="Arial" w:cs="Arial" w:eastAsia="Arial" w:hAnsi="Arial"/>
                <w:sz w:val="8"/>
                <w:szCs w:val="8"/>
                <w:color w:val="auto"/>
              </w:rPr>
              <w:t>(2)</w:t>
            </w:r>
          </w:p>
        </w:tc>
        <w:tc>
          <w:tcPr>
            <w:tcW w:w="260" w:type="dxa"/>
            <w:vAlign w:val="bottom"/>
            <w:shd w:val="clear" w:color="auto" w:fill="CCFFCC"/>
          </w:tcPr>
          <w:p>
            <w:pPr>
              <w:spacing w:after="0"/>
              <w:rPr>
                <w:sz w:val="9"/>
                <w:szCs w:val="9"/>
                <w:color w:val="auto"/>
              </w:rPr>
            </w:pPr>
          </w:p>
        </w:tc>
        <w:tc>
          <w:tcPr>
            <w:tcW w:w="900" w:type="dxa"/>
            <w:vAlign w:val="bottom"/>
            <w:shd w:val="clear" w:color="auto" w:fill="CCFFCC"/>
          </w:tcPr>
          <w:p>
            <w:pPr>
              <w:jc w:val="right"/>
              <w:ind w:right="58"/>
              <w:spacing w:after="0" w:line="111" w:lineRule="exact"/>
              <w:rPr>
                <w:sz w:val="20"/>
                <w:szCs w:val="20"/>
                <w:color w:val="auto"/>
              </w:rPr>
            </w:pPr>
            <w:r>
              <w:rPr>
                <w:rFonts w:ascii="Arial" w:cs="Arial" w:eastAsia="Arial" w:hAnsi="Arial"/>
                <w:sz w:val="12"/>
                <w:szCs w:val="12"/>
                <w:color w:val="auto"/>
              </w:rPr>
              <w:t>1,727</w:t>
            </w:r>
          </w:p>
        </w:tc>
        <w:tc>
          <w:tcPr>
            <w:tcW w:w="32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w w:val="81"/>
              </w:rPr>
              <w:t>(2)</w:t>
            </w:r>
          </w:p>
        </w:tc>
        <w:tc>
          <w:tcPr>
            <w:tcW w:w="280" w:type="dxa"/>
            <w:vAlign w:val="bottom"/>
            <w:shd w:val="clear" w:color="auto" w:fill="CCFFCC"/>
          </w:tcPr>
          <w:p>
            <w:pPr>
              <w:spacing w:after="0"/>
              <w:rPr>
                <w:sz w:val="9"/>
                <w:szCs w:val="9"/>
                <w:color w:val="auto"/>
              </w:rPr>
            </w:pPr>
          </w:p>
        </w:tc>
        <w:tc>
          <w:tcPr>
            <w:tcW w:w="860" w:type="dxa"/>
            <w:vAlign w:val="bottom"/>
            <w:shd w:val="clear" w:color="auto" w:fill="CCFFCC"/>
          </w:tcPr>
          <w:p>
            <w:pPr>
              <w:jc w:val="right"/>
              <w:ind w:right="57"/>
              <w:spacing w:after="0" w:line="111" w:lineRule="exact"/>
              <w:rPr>
                <w:sz w:val="20"/>
                <w:szCs w:val="20"/>
                <w:color w:val="auto"/>
              </w:rPr>
            </w:pPr>
            <w:r>
              <w:rPr>
                <w:rFonts w:ascii="Arial" w:cs="Arial" w:eastAsia="Arial" w:hAnsi="Arial"/>
                <w:sz w:val="12"/>
                <w:szCs w:val="12"/>
                <w:color w:val="auto"/>
              </w:rPr>
              <w:t>6,046</w:t>
            </w:r>
          </w:p>
        </w:tc>
        <w:tc>
          <w:tcPr>
            <w:tcW w:w="32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w w:val="81"/>
              </w:rPr>
              <w:t>(4)</w:t>
            </w:r>
          </w:p>
        </w:tc>
        <w:tc>
          <w:tcPr>
            <w:tcW w:w="240" w:type="dxa"/>
            <w:vAlign w:val="bottom"/>
            <w:shd w:val="clear" w:color="auto" w:fill="CCFFCC"/>
          </w:tcPr>
          <w:p>
            <w:pPr>
              <w:spacing w:after="0"/>
              <w:rPr>
                <w:sz w:val="9"/>
                <w:szCs w:val="9"/>
                <w:color w:val="auto"/>
              </w:rPr>
            </w:pPr>
          </w:p>
        </w:tc>
        <w:tc>
          <w:tcPr>
            <w:tcW w:w="860" w:type="dxa"/>
            <w:vAlign w:val="bottom"/>
            <w:shd w:val="clear" w:color="auto" w:fill="CCFFCC"/>
          </w:tcPr>
          <w:p>
            <w:pPr>
              <w:jc w:val="right"/>
              <w:ind w:right="37"/>
              <w:spacing w:after="0" w:line="111" w:lineRule="exact"/>
              <w:rPr>
                <w:sz w:val="20"/>
                <w:szCs w:val="20"/>
                <w:color w:val="auto"/>
              </w:rPr>
            </w:pPr>
            <w:r>
              <w:rPr>
                <w:rFonts w:ascii="Arial" w:cs="Arial" w:eastAsia="Arial" w:hAnsi="Arial"/>
                <w:sz w:val="12"/>
                <w:szCs w:val="12"/>
                <w:color w:val="auto"/>
              </w:rPr>
              <w:t>4,144</w:t>
            </w:r>
          </w:p>
        </w:tc>
        <w:tc>
          <w:tcPr>
            <w:tcW w:w="340" w:type="dxa"/>
            <w:vAlign w:val="bottom"/>
            <w:vMerge w:val="restart"/>
            <w:shd w:val="clear" w:color="auto" w:fill="CCFFCC"/>
          </w:tcPr>
          <w:p>
            <w:pPr>
              <w:jc w:val="right"/>
              <w:ind w:right="181"/>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62"/>
        </w:trPr>
        <w:tc>
          <w:tcPr>
            <w:tcW w:w="5400" w:type="dxa"/>
            <w:vAlign w:val="bottom"/>
            <w:tcBorders>
              <w:bottom w:val="single" w:sz="8" w:color="CCFFCC"/>
            </w:tcBorders>
            <w:shd w:val="clear" w:color="auto" w:fill="CCFFCC"/>
          </w:tcPr>
          <w:p>
            <w:pPr>
              <w:spacing w:after="0"/>
              <w:rPr>
                <w:sz w:val="5"/>
                <w:szCs w:val="5"/>
                <w:color w:val="auto"/>
              </w:rPr>
            </w:pPr>
          </w:p>
        </w:tc>
        <w:tc>
          <w:tcPr>
            <w:tcW w:w="260" w:type="dxa"/>
            <w:vAlign w:val="bottom"/>
            <w:tcBorders>
              <w:bottom w:val="single" w:sz="8" w:color="CCFFCC"/>
            </w:tcBorders>
            <w:shd w:val="clear" w:color="auto" w:fill="CCFFCC"/>
          </w:tcPr>
          <w:p>
            <w:pPr>
              <w:spacing w:after="0"/>
              <w:rPr>
                <w:sz w:val="5"/>
                <w:szCs w:val="5"/>
                <w:color w:val="auto"/>
              </w:rPr>
            </w:pPr>
          </w:p>
        </w:tc>
        <w:tc>
          <w:tcPr>
            <w:tcW w:w="880" w:type="dxa"/>
            <w:vAlign w:val="bottom"/>
            <w:tcBorders>
              <w:bottom w:val="single" w:sz="8" w:color="CCFFCC"/>
            </w:tcBorders>
            <w:shd w:val="clear" w:color="auto" w:fill="CCFFCC"/>
          </w:tcPr>
          <w:p>
            <w:pPr>
              <w:spacing w:after="0"/>
              <w:rPr>
                <w:sz w:val="5"/>
                <w:szCs w:val="5"/>
                <w:color w:val="auto"/>
              </w:rPr>
            </w:pPr>
          </w:p>
        </w:tc>
        <w:tc>
          <w:tcPr>
            <w:tcW w:w="340" w:type="dxa"/>
            <w:vAlign w:val="bottom"/>
            <w:tcBorders>
              <w:bottom w:val="single" w:sz="8" w:color="CCFFCC"/>
            </w:tcBorders>
            <w:vMerge w:val="continue"/>
            <w:shd w:val="clear" w:color="auto" w:fill="CCFFCC"/>
          </w:tcPr>
          <w:p>
            <w:pPr>
              <w:spacing w:after="0"/>
              <w:rPr>
                <w:sz w:val="5"/>
                <w:szCs w:val="5"/>
                <w:color w:val="auto"/>
              </w:rPr>
            </w:pPr>
          </w:p>
        </w:tc>
        <w:tc>
          <w:tcPr>
            <w:tcW w:w="260" w:type="dxa"/>
            <w:vAlign w:val="bottom"/>
            <w:tcBorders>
              <w:bottom w:val="single" w:sz="8" w:color="CCFFCC"/>
            </w:tcBorders>
            <w:shd w:val="clear" w:color="auto" w:fill="CCFFCC"/>
          </w:tcPr>
          <w:p>
            <w:pPr>
              <w:spacing w:after="0"/>
              <w:rPr>
                <w:sz w:val="5"/>
                <w:szCs w:val="5"/>
                <w:color w:val="auto"/>
              </w:rPr>
            </w:pPr>
          </w:p>
        </w:tc>
        <w:tc>
          <w:tcPr>
            <w:tcW w:w="900" w:type="dxa"/>
            <w:vAlign w:val="bottom"/>
            <w:tcBorders>
              <w:bottom w:val="single" w:sz="8" w:color="CCFFCC"/>
            </w:tcBorders>
            <w:shd w:val="clear" w:color="auto" w:fill="CCFFCC"/>
          </w:tcPr>
          <w:p>
            <w:pPr>
              <w:spacing w:after="0"/>
              <w:rPr>
                <w:sz w:val="5"/>
                <w:szCs w:val="5"/>
                <w:color w:val="auto"/>
              </w:rPr>
            </w:pPr>
          </w:p>
        </w:tc>
        <w:tc>
          <w:tcPr>
            <w:tcW w:w="320" w:type="dxa"/>
            <w:vAlign w:val="bottom"/>
            <w:tcBorders>
              <w:bottom w:val="single" w:sz="8" w:color="CCFFCC"/>
            </w:tcBorders>
            <w:vMerge w:val="continue"/>
            <w:shd w:val="clear" w:color="auto" w:fill="CCFFCC"/>
          </w:tcPr>
          <w:p>
            <w:pPr>
              <w:spacing w:after="0"/>
              <w:rPr>
                <w:sz w:val="5"/>
                <w:szCs w:val="5"/>
                <w:color w:val="auto"/>
              </w:rPr>
            </w:pPr>
          </w:p>
        </w:tc>
        <w:tc>
          <w:tcPr>
            <w:tcW w:w="280" w:type="dxa"/>
            <w:vAlign w:val="bottom"/>
            <w:tcBorders>
              <w:bottom w:val="single" w:sz="8" w:color="CCFFCC"/>
            </w:tcBorders>
            <w:shd w:val="clear" w:color="auto" w:fill="CCFFCC"/>
          </w:tcPr>
          <w:p>
            <w:pPr>
              <w:spacing w:after="0"/>
              <w:rPr>
                <w:sz w:val="5"/>
                <w:szCs w:val="5"/>
                <w:color w:val="auto"/>
              </w:rPr>
            </w:pPr>
          </w:p>
        </w:tc>
        <w:tc>
          <w:tcPr>
            <w:tcW w:w="860" w:type="dxa"/>
            <w:vAlign w:val="bottom"/>
            <w:tcBorders>
              <w:bottom w:val="single" w:sz="8" w:color="CCFFCC"/>
            </w:tcBorders>
            <w:shd w:val="clear" w:color="auto" w:fill="CCFFCC"/>
          </w:tcPr>
          <w:p>
            <w:pPr>
              <w:spacing w:after="0"/>
              <w:rPr>
                <w:sz w:val="5"/>
                <w:szCs w:val="5"/>
                <w:color w:val="auto"/>
              </w:rPr>
            </w:pPr>
          </w:p>
        </w:tc>
        <w:tc>
          <w:tcPr>
            <w:tcW w:w="320" w:type="dxa"/>
            <w:vAlign w:val="bottom"/>
            <w:tcBorders>
              <w:bottom w:val="single" w:sz="8" w:color="CCFFCC"/>
            </w:tcBorders>
            <w:vMerge w:val="continue"/>
            <w:shd w:val="clear" w:color="auto" w:fill="CCFFCC"/>
          </w:tcPr>
          <w:p>
            <w:pPr>
              <w:spacing w:after="0"/>
              <w:rPr>
                <w:sz w:val="5"/>
                <w:szCs w:val="5"/>
                <w:color w:val="auto"/>
              </w:rPr>
            </w:pPr>
          </w:p>
        </w:tc>
        <w:tc>
          <w:tcPr>
            <w:tcW w:w="240" w:type="dxa"/>
            <w:vAlign w:val="bottom"/>
            <w:tcBorders>
              <w:bottom w:val="single" w:sz="8" w:color="CCFFCC"/>
            </w:tcBorders>
            <w:shd w:val="clear" w:color="auto" w:fill="CCFFCC"/>
          </w:tcPr>
          <w:p>
            <w:pPr>
              <w:spacing w:after="0"/>
              <w:rPr>
                <w:sz w:val="5"/>
                <w:szCs w:val="5"/>
                <w:color w:val="auto"/>
              </w:rPr>
            </w:pPr>
          </w:p>
        </w:tc>
        <w:tc>
          <w:tcPr>
            <w:tcW w:w="860" w:type="dxa"/>
            <w:vAlign w:val="bottom"/>
            <w:tcBorders>
              <w:bottom w:val="single" w:sz="8" w:color="CCFFCC"/>
            </w:tcBorders>
            <w:shd w:val="clear" w:color="auto" w:fill="CCFFCC"/>
          </w:tcPr>
          <w:p>
            <w:pPr>
              <w:spacing w:after="0"/>
              <w:rPr>
                <w:sz w:val="5"/>
                <w:szCs w:val="5"/>
                <w:color w:val="auto"/>
              </w:rPr>
            </w:pPr>
          </w:p>
        </w:tc>
        <w:tc>
          <w:tcPr>
            <w:tcW w:w="340" w:type="dxa"/>
            <w:vAlign w:val="bottom"/>
            <w:tcBorders>
              <w:bottom w:val="single" w:sz="8" w:color="CCFFCC"/>
            </w:tcBorders>
            <w:vMerge w:val="continue"/>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220"/>
              <w:spacing w:after="0"/>
              <w:rPr>
                <w:sz w:val="20"/>
                <w:szCs w:val="20"/>
                <w:color w:val="auto"/>
              </w:rPr>
            </w:pPr>
            <w:r>
              <w:rPr>
                <w:rFonts w:ascii="Arial" w:cs="Arial" w:eastAsia="Arial" w:hAnsi="Arial"/>
                <w:sz w:val="12"/>
                <w:szCs w:val="12"/>
                <w:color w:val="auto"/>
              </w:rPr>
              <w:t>(Benefit from) Provision for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699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2"/>
                <w:szCs w:val="12"/>
                <w:color w:val="auto"/>
              </w:rPr>
              <w:t>13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2"/>
                <w:szCs w:val="12"/>
                <w:color w:val="auto"/>
              </w:rPr>
              <w:t>1,292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00" w:type="dxa"/>
            <w:vAlign w:val="bottom"/>
            <w:shd w:val="clear" w:color="auto" w:fill="CCFFCC"/>
          </w:tcPr>
          <w:p>
            <w:pPr>
              <w:ind w:left="220"/>
              <w:spacing w:after="0"/>
              <w:rPr>
                <w:sz w:val="20"/>
                <w:szCs w:val="20"/>
                <w:color w:val="auto"/>
              </w:rPr>
            </w:pPr>
            <w:r>
              <w:rPr>
                <w:rFonts w:ascii="Arial" w:cs="Arial" w:eastAsia="Arial" w:hAnsi="Arial"/>
                <w:sz w:val="12"/>
                <w:szCs w:val="12"/>
                <w:color w:val="auto"/>
              </w:rPr>
              <w:t>Acquisition costs</w:t>
            </w: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w:t>
            </w:r>
          </w:p>
        </w:tc>
        <w:tc>
          <w:tcPr>
            <w:tcW w:w="3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57"/>
              <w:spacing w:after="0"/>
              <w:rPr>
                <w:sz w:val="20"/>
                <w:szCs w:val="20"/>
                <w:color w:val="auto"/>
              </w:rPr>
            </w:pPr>
            <w:r>
              <w:rPr>
                <w:rFonts w:ascii="Arial" w:cs="Arial" w:eastAsia="Arial" w:hAnsi="Arial"/>
                <w:sz w:val="12"/>
                <w:szCs w:val="12"/>
                <w:color w:val="auto"/>
              </w:rPr>
              <w:t>—</w:t>
            </w:r>
          </w:p>
        </w:tc>
        <w:tc>
          <w:tcPr>
            <w:tcW w:w="3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648</w:t>
            </w:r>
          </w:p>
        </w:tc>
        <w:tc>
          <w:tcPr>
            <w:tcW w:w="3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220"/>
              <w:spacing w:after="0"/>
              <w:rPr>
                <w:sz w:val="20"/>
                <w:szCs w:val="20"/>
                <w:color w:val="auto"/>
              </w:rPr>
            </w:pPr>
            <w:r>
              <w:rPr>
                <w:rFonts w:ascii="Arial" w:cs="Arial" w:eastAsia="Arial" w:hAnsi="Arial"/>
                <w:sz w:val="12"/>
                <w:szCs w:val="12"/>
                <w:color w:val="auto"/>
              </w:rPr>
              <w:t>Interest income</w:t>
            </w:r>
          </w:p>
        </w:tc>
        <w:tc>
          <w:tcPr>
            <w:tcW w:w="26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4"/>
                <w:szCs w:val="14"/>
                <w:color w:val="auto"/>
              </w:rPr>
              <w:t>3,211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2,017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4"/>
                <w:szCs w:val="14"/>
                <w:color w:val="auto"/>
              </w:rPr>
              <w:t>6,002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2,684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0" w:type="dxa"/>
            <w:vAlign w:val="bottom"/>
            <w:shd w:val="clear" w:color="auto" w:fill="CCFFCC"/>
          </w:tcPr>
          <w:p>
            <w:pPr>
              <w:ind w:left="220"/>
              <w:spacing w:after="0"/>
              <w:rPr>
                <w:sz w:val="20"/>
                <w:szCs w:val="20"/>
                <w:color w:val="auto"/>
              </w:rPr>
            </w:pPr>
            <w:r>
              <w:rPr>
                <w:rFonts w:ascii="Arial" w:cs="Arial" w:eastAsia="Arial" w:hAnsi="Arial"/>
                <w:sz w:val="12"/>
                <w:szCs w:val="12"/>
                <w:color w:val="auto"/>
              </w:rPr>
              <w:t>Other expense (income), net</w:t>
            </w:r>
          </w:p>
        </w:tc>
        <w:tc>
          <w:tcPr>
            <w:tcW w:w="260" w:type="dxa"/>
            <w:vAlign w:val="bottom"/>
            <w:shd w:val="clear" w:color="auto" w:fill="CCFFCC"/>
          </w:tcPr>
          <w:p>
            <w:pPr>
              <w:spacing w:after="0"/>
              <w:rPr>
                <w:sz w:val="16"/>
                <w:szCs w:val="16"/>
                <w:color w:val="auto"/>
              </w:rPr>
            </w:pPr>
          </w:p>
        </w:tc>
        <w:tc>
          <w:tcPr>
            <w:tcW w:w="88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1,309</w:t>
            </w:r>
          </w:p>
        </w:tc>
        <w:tc>
          <w:tcPr>
            <w:tcW w:w="340" w:type="dxa"/>
            <w:vAlign w:val="bottom"/>
            <w:shd w:val="clear" w:color="auto" w:fill="CCFFCC"/>
          </w:tcPr>
          <w:p>
            <w:pPr>
              <w:jc w:val="right"/>
              <w:ind w:right="173"/>
              <w:spacing w:after="0"/>
              <w:rPr>
                <w:sz w:val="20"/>
                <w:szCs w:val="20"/>
                <w:color w:val="auto"/>
              </w:rPr>
            </w:pPr>
            <w:r>
              <w:rPr>
                <w:rFonts w:ascii="Arial" w:cs="Arial" w:eastAsia="Arial" w:hAnsi="Arial"/>
                <w:sz w:val="8"/>
                <w:szCs w:val="8"/>
                <w:color w:val="auto"/>
              </w:rPr>
              <w:t>(5)</w:t>
            </w:r>
          </w:p>
        </w:tc>
        <w:tc>
          <w:tcPr>
            <w:tcW w:w="260" w:type="dxa"/>
            <w:vAlign w:val="bottom"/>
            <w:shd w:val="clear" w:color="auto" w:fill="CCFFCC"/>
          </w:tcPr>
          <w:p>
            <w:pPr>
              <w:spacing w:after="0"/>
              <w:rPr>
                <w:sz w:val="16"/>
                <w:szCs w:val="16"/>
                <w:color w:val="auto"/>
              </w:rPr>
            </w:pPr>
          </w:p>
        </w:tc>
        <w:tc>
          <w:tcPr>
            <w:tcW w:w="90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250</w:t>
            </w:r>
          </w:p>
        </w:tc>
        <w:tc>
          <w:tcPr>
            <w:tcW w:w="320" w:type="dxa"/>
            <w:vAlign w:val="bottom"/>
            <w:shd w:val="clear" w:color="auto" w:fill="CCFFCC"/>
          </w:tcPr>
          <w:p>
            <w:pPr>
              <w:jc w:val="right"/>
              <w:ind w:right="175"/>
              <w:spacing w:after="0"/>
              <w:rPr>
                <w:sz w:val="20"/>
                <w:szCs w:val="20"/>
                <w:color w:val="auto"/>
              </w:rPr>
            </w:pPr>
            <w:r>
              <w:rPr>
                <w:rFonts w:ascii="Arial" w:cs="Arial" w:eastAsia="Arial" w:hAnsi="Arial"/>
                <w:sz w:val="8"/>
                <w:szCs w:val="8"/>
                <w:color w:val="auto"/>
                <w:w w:val="81"/>
              </w:rPr>
              <w:t>(5)</w:t>
            </w:r>
          </w:p>
        </w:tc>
        <w:tc>
          <w:tcPr>
            <w:tcW w:w="280" w:type="dxa"/>
            <w:vAlign w:val="bottom"/>
            <w:shd w:val="clear" w:color="auto" w:fill="CCFFCC"/>
          </w:tcPr>
          <w:p>
            <w:pPr>
              <w:spacing w:after="0"/>
              <w:rPr>
                <w:sz w:val="16"/>
                <w:szCs w:val="16"/>
                <w:color w:val="auto"/>
              </w:rPr>
            </w:pPr>
          </w:p>
        </w:tc>
        <w:tc>
          <w:tcPr>
            <w:tcW w:w="860" w:type="dxa"/>
            <w:vAlign w:val="bottom"/>
            <w:shd w:val="clear" w:color="auto" w:fill="CCFFCC"/>
          </w:tcPr>
          <w:p>
            <w:pPr>
              <w:jc w:val="right"/>
              <w:ind w:right="57"/>
              <w:spacing w:after="0"/>
              <w:rPr>
                <w:sz w:val="20"/>
                <w:szCs w:val="20"/>
                <w:color w:val="auto"/>
              </w:rPr>
            </w:pPr>
            <w:r>
              <w:rPr>
                <w:rFonts w:ascii="Arial" w:cs="Arial" w:eastAsia="Arial" w:hAnsi="Arial"/>
                <w:sz w:val="12"/>
                <w:szCs w:val="12"/>
                <w:color w:val="auto"/>
              </w:rPr>
              <w:t>1,975</w:t>
            </w:r>
          </w:p>
        </w:tc>
        <w:tc>
          <w:tcPr>
            <w:tcW w:w="320" w:type="dxa"/>
            <w:vAlign w:val="bottom"/>
            <w:shd w:val="clear" w:color="auto" w:fill="CCFFCC"/>
          </w:tcPr>
          <w:p>
            <w:pPr>
              <w:jc w:val="right"/>
              <w:ind w:right="175"/>
              <w:spacing w:after="0"/>
              <w:rPr>
                <w:sz w:val="20"/>
                <w:szCs w:val="20"/>
                <w:color w:val="auto"/>
              </w:rPr>
            </w:pPr>
            <w:r>
              <w:rPr>
                <w:rFonts w:ascii="Arial" w:cs="Arial" w:eastAsia="Arial" w:hAnsi="Arial"/>
                <w:sz w:val="8"/>
                <w:szCs w:val="8"/>
                <w:color w:val="auto"/>
                <w:w w:val="81"/>
              </w:rPr>
              <w:t>(5)</w:t>
            </w:r>
          </w:p>
        </w:tc>
        <w:tc>
          <w:tcPr>
            <w:tcW w:w="240" w:type="dxa"/>
            <w:vAlign w:val="bottom"/>
            <w:shd w:val="clear" w:color="auto" w:fill="CCFFCC"/>
          </w:tcPr>
          <w:p>
            <w:pPr>
              <w:spacing w:after="0"/>
              <w:rPr>
                <w:sz w:val="16"/>
                <w:szCs w:val="16"/>
                <w:color w:val="auto"/>
              </w:rPr>
            </w:pPr>
          </w:p>
        </w:tc>
        <w:tc>
          <w:tcPr>
            <w:tcW w:w="1200" w:type="dxa"/>
            <w:vAlign w:val="bottom"/>
            <w:gridSpan w:val="2"/>
            <w:shd w:val="clear" w:color="auto" w:fill="CCFFCC"/>
          </w:tcPr>
          <w:p>
            <w:pPr>
              <w:jc w:val="right"/>
              <w:ind w:right="181"/>
              <w:spacing w:after="0"/>
              <w:rPr>
                <w:sz w:val="20"/>
                <w:szCs w:val="20"/>
                <w:color w:val="auto"/>
              </w:rPr>
            </w:pPr>
            <w:r>
              <w:rPr>
                <w:rFonts w:ascii="Arial" w:cs="Arial" w:eastAsia="Arial" w:hAnsi="Arial"/>
                <w:sz w:val="12"/>
                <w:szCs w:val="12"/>
                <w:color w:val="auto"/>
              </w:rPr>
              <w:t xml:space="preserve">(483)  </w:t>
            </w: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47"/>
        </w:trPr>
        <w:tc>
          <w:tcPr>
            <w:tcW w:w="5400" w:type="dxa"/>
            <w:vAlign w:val="bottom"/>
            <w:tcBorders>
              <w:bottom w:val="single" w:sz="8" w:color="CCFFCC"/>
            </w:tcBorders>
          </w:tcPr>
          <w:p>
            <w:pPr>
              <w:ind w:left="20"/>
              <w:spacing w:after="0"/>
              <w:rPr>
                <w:sz w:val="20"/>
                <w:szCs w:val="20"/>
                <w:color w:val="auto"/>
              </w:rPr>
            </w:pPr>
            <w:r>
              <w:rPr>
                <w:rFonts w:ascii="Arial" w:cs="Arial" w:eastAsia="Arial" w:hAnsi="Arial"/>
                <w:sz w:val="12"/>
                <w:szCs w:val="12"/>
                <w:color w:val="auto"/>
              </w:rPr>
              <w:t>Adjusted EBITDA (loss)</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2"/>
                <w:szCs w:val="12"/>
                <w:color w:val="auto"/>
              </w:rPr>
              <w:t>9,263</w:t>
            </w:r>
          </w:p>
        </w:tc>
        <w:tc>
          <w:tcPr>
            <w:tcW w:w="340" w:type="dxa"/>
            <w:vAlign w:val="bottom"/>
            <w:tcBorders>
              <w:bottom w:val="single" w:sz="8" w:color="CCFFC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(5,299)</w:t>
            </w:r>
          </w:p>
        </w:tc>
        <w:tc>
          <w:tcPr>
            <w:tcW w:w="320" w:type="dxa"/>
            <w:vAlign w:val="bottom"/>
            <w:tcBorders>
              <w:bottom w:val="single" w:sz="8" w:color="CCFFC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2"/>
                <w:szCs w:val="12"/>
                <w:color w:val="auto"/>
              </w:rPr>
              <w:t>4,631</w:t>
            </w:r>
          </w:p>
        </w:tc>
        <w:tc>
          <w:tcPr>
            <w:tcW w:w="320" w:type="dxa"/>
            <w:vAlign w:val="bottom"/>
            <w:tcBorders>
              <w:bottom w:val="single" w:sz="8" w:color="CCFFC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(8,525)</w:t>
            </w:r>
          </w:p>
        </w:tc>
        <w:tc>
          <w:tcPr>
            <w:tcW w:w="340" w:type="dxa"/>
            <w:vAlign w:val="bottom"/>
            <w:tcBorders>
              <w:bottom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4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0" w:hanging="183"/>
        <w:spacing w:after="0"/>
        <w:tabs>
          <w:tab w:leader="none" w:pos="2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severance costs and other compensation related costs of $0.2 million for the three months ended June 30, 2019.</w:t>
      </w:r>
    </w:p>
    <w:p>
      <w:pPr>
        <w:spacing w:after="0" w:line="37" w:lineRule="exact"/>
        <w:rPr>
          <w:rFonts w:ascii="Arial" w:cs="Arial" w:eastAsia="Arial" w:hAnsi="Arial"/>
          <w:sz w:val="12"/>
          <w:szCs w:val="12"/>
          <w:color w:val="auto"/>
        </w:rPr>
      </w:pPr>
    </w:p>
    <w:p>
      <w:pPr>
        <w:ind w:left="20" w:right="240" w:hanging="3"/>
        <w:spacing w:after="0" w:line="256" w:lineRule="auto"/>
        <w:tabs>
          <w:tab w:leader="none" w:pos="196"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litigation costs of $1.0 million and consulting costs of $0.3 million for the three months ended June 30, 2020, and litigation costs of $1.1 million and consulting costs of $0.6 million for the three months ended June 30, 2019.</w:t>
      </w:r>
    </w:p>
    <w:p>
      <w:pPr>
        <w:spacing w:after="0" w:line="9" w:lineRule="exact"/>
        <w:rPr>
          <w:rFonts w:ascii="Arial" w:cs="Arial" w:eastAsia="Arial" w:hAnsi="Arial"/>
          <w:sz w:val="12"/>
          <w:szCs w:val="12"/>
          <w:color w:val="auto"/>
        </w:rPr>
      </w:pPr>
    </w:p>
    <w:p>
      <w:pPr>
        <w:ind w:left="200" w:hanging="183"/>
        <w:spacing w:after="0"/>
        <w:tabs>
          <w:tab w:leader="none" w:pos="2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severance costs and other compensation related costs of $3.2 million for the six months ended June 30, 2020 and $0.5 million for the six months ended June 30, 2019.</w:t>
      </w:r>
    </w:p>
    <w:p>
      <w:pPr>
        <w:spacing w:after="0" w:line="37" w:lineRule="exact"/>
        <w:rPr>
          <w:rFonts w:ascii="Arial" w:cs="Arial" w:eastAsia="Arial" w:hAnsi="Arial"/>
          <w:sz w:val="12"/>
          <w:szCs w:val="12"/>
          <w:color w:val="auto"/>
        </w:rPr>
      </w:pPr>
    </w:p>
    <w:p>
      <w:pPr>
        <w:ind w:left="20" w:right="480" w:hanging="3"/>
        <w:spacing w:after="0" w:line="256" w:lineRule="auto"/>
        <w:tabs>
          <w:tab w:leader="none" w:pos="196"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litigation costs of $2.3 million, reserve for sales and use tax liability of $2.3 million, employee benefit cost of $0.8 million, and consulting costs of $0.6 million for the six months ended June 30, 2020 and litigation costs of $2.2 million and consulting costs of $1.9 million for the six months ended June 30, 2019.</w:t>
      </w:r>
    </w:p>
    <w:p>
      <w:pPr>
        <w:spacing w:after="0" w:line="9" w:lineRule="exact"/>
        <w:rPr>
          <w:rFonts w:ascii="Arial" w:cs="Arial" w:eastAsia="Arial" w:hAnsi="Arial"/>
          <w:sz w:val="12"/>
          <w:szCs w:val="12"/>
          <w:color w:val="auto"/>
        </w:rPr>
      </w:pPr>
    </w:p>
    <w:p>
      <w:pPr>
        <w:ind w:left="200" w:hanging="183"/>
        <w:spacing w:after="0"/>
        <w:tabs>
          <w:tab w:leader="none" w:pos="2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financial income (expense) which is attributable primarily to currency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-588645</wp:posOffset>
            </wp:positionV>
            <wp:extent cx="7150735" cy="193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1930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-284480</wp:posOffset>
            </wp:positionV>
            <wp:extent cx="7150735" cy="193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193040"/>
                    </a:xfrm>
                    <a:prstGeom prst="rect">
                      <a:avLst/>
                    </a:prstGeom>
                    <a:noFill/>
                  </pic:spPr>
                </pic:pic>
              </a:graphicData>
            </a:graphic>
          </wp:anchor>
        </w:drawing>
      </w:r>
    </w:p>
    <w:p>
      <w:pPr>
        <w:spacing w:after="0" w:line="277" w:lineRule="exact"/>
        <w:rPr>
          <w:sz w:val="20"/>
          <w:szCs w:val="20"/>
          <w:color w:val="auto"/>
        </w:rPr>
      </w:pPr>
    </w:p>
    <w:p>
      <w:pPr>
        <w:ind w:left="60" w:firstLine="561"/>
        <w:spacing w:after="0" w:line="263" w:lineRule="auto"/>
        <w:rPr>
          <w:sz w:val="20"/>
          <w:szCs w:val="20"/>
          <w:color w:val="auto"/>
        </w:rPr>
      </w:pPr>
      <w:r>
        <w:rPr>
          <w:rFonts w:ascii="Arial" w:cs="Arial" w:eastAsia="Arial" w:hAnsi="Arial"/>
          <w:sz w:val="16"/>
          <w:szCs w:val="16"/>
          <w:color w:val="auto"/>
        </w:rPr>
        <w:t>Our use of adjusted operating income has limitations as an analytical tool, and you should not consider it in isolation or as a substitute for analysis of our results as reported under GAAP. Some of these limitations 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60"/>
          </w:cols>
          <w:pgMar w:left="320" w:top="501" w:right="319" w:bottom="1440" w:gutter="0" w:footer="0" w:header="0"/>
        </w:sectPr>
      </w:pPr>
    </w:p>
    <w:bookmarkStart w:id="40" w:name="page41"/>
    <w:bookmarkEnd w:id="40"/>
    <w:p>
      <w:pPr>
        <w:ind w:left="980" w:right="20" w:hanging="286"/>
        <w:spacing w:after="0" w:line="251"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ind w:left="980" w:hanging="286"/>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operating income does not consider the impact of acquisition costs;</w:t>
      </w:r>
    </w:p>
    <w:p>
      <w:pPr>
        <w:spacing w:after="0" w:line="2" w:lineRule="exact"/>
        <w:rPr>
          <w:rFonts w:ascii="Arial" w:cs="Arial" w:eastAsia="Arial" w:hAnsi="Arial"/>
          <w:sz w:val="16"/>
          <w:szCs w:val="16"/>
          <w:color w:val="auto"/>
        </w:rPr>
      </w:pPr>
    </w:p>
    <w:p>
      <w:pPr>
        <w:ind w:left="980" w:hanging="286"/>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operating income does not consider the impact of restructuring costs;</w:t>
      </w:r>
    </w:p>
    <w:p>
      <w:pPr>
        <w:spacing w:after="0" w:line="2" w:lineRule="exact"/>
        <w:rPr>
          <w:rFonts w:ascii="Arial" w:cs="Arial" w:eastAsia="Arial" w:hAnsi="Arial"/>
          <w:sz w:val="16"/>
          <w:szCs w:val="16"/>
          <w:color w:val="auto"/>
        </w:rPr>
      </w:pPr>
    </w:p>
    <w:p>
      <w:pPr>
        <w:ind w:left="980" w:hanging="286"/>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operating income does not consider the impact of other costs;</w:t>
      </w:r>
    </w:p>
    <w:p>
      <w:pPr>
        <w:spacing w:after="0" w:line="2" w:lineRule="exact"/>
        <w:rPr>
          <w:rFonts w:ascii="Arial" w:cs="Arial" w:eastAsia="Arial" w:hAnsi="Arial"/>
          <w:sz w:val="16"/>
          <w:szCs w:val="16"/>
          <w:color w:val="auto"/>
        </w:rPr>
      </w:pPr>
    </w:p>
    <w:p>
      <w:pPr>
        <w:ind w:left="980" w:hanging="286"/>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companies, including companies in our industry, may calculate adjusted operating income differently, which reduces its usefulness as a comparative measure.</w:t>
      </w:r>
    </w:p>
    <w:p>
      <w:pPr>
        <w:spacing w:after="0" w:line="201" w:lineRule="exact"/>
        <w:rPr>
          <w:sz w:val="20"/>
          <w:szCs w:val="20"/>
          <w:color w:val="auto"/>
        </w:rPr>
      </w:pPr>
    </w:p>
    <w:p>
      <w:pPr>
        <w:ind w:right="20" w:firstLine="561"/>
        <w:spacing w:after="0" w:line="334" w:lineRule="auto"/>
        <w:rPr>
          <w:sz w:val="20"/>
          <w:szCs w:val="20"/>
          <w:color w:val="auto"/>
        </w:rPr>
      </w:pPr>
      <w:r>
        <w:rPr>
          <w:rFonts w:ascii="Arial" w:cs="Arial" w:eastAsia="Arial" w:hAnsi="Arial"/>
          <w:sz w:val="14"/>
          <w:szCs w:val="14"/>
          <w:color w:val="auto"/>
        </w:rPr>
        <w:t>Because of these limitations, you should consider adjusted operating income alongside other financial performance measures, including various pre-tax GAAP loss and our other GAAP results. The following table presents a reconciliation of adjusted operating income for each of the periods indicated (amounts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2"/>
                <w:szCs w:val="12"/>
                <w:b w:val="1"/>
                <w:bCs w:val="1"/>
                <w:color w:val="auto"/>
              </w:rPr>
              <w:t>Three Months Ended June 30,</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2"/>
                <w:szCs w:val="12"/>
                <w:b w:val="1"/>
                <w:bCs w:val="1"/>
                <w:color w:val="auto"/>
              </w:rPr>
              <w:t>Six Months Ended June 30,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b w:val="1"/>
                <w:bCs w:val="1"/>
                <w:color w:val="auto"/>
              </w:rPr>
              <w:t>2020</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b w:val="1"/>
                <w:bCs w:val="1"/>
                <w:color w:val="auto"/>
              </w:rPr>
              <w:t>2019</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2"/>
                <w:szCs w:val="12"/>
                <w:b w:val="1"/>
                <w:bCs w:val="1"/>
                <w:color w:val="auto"/>
              </w:rPr>
              <w:t>2020</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2"/>
                <w:szCs w:val="12"/>
                <w:b w:val="1"/>
                <w:bCs w:val="1"/>
                <w:color w:val="auto"/>
              </w:rPr>
              <w:t>2019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60" w:type="dxa"/>
            <w:vAlign w:val="bottom"/>
          </w:tcPr>
          <w:p>
            <w:pPr>
              <w:ind w:left="20"/>
              <w:spacing w:after="0"/>
              <w:rPr>
                <w:sz w:val="20"/>
                <w:szCs w:val="20"/>
                <w:color w:val="auto"/>
              </w:rPr>
            </w:pPr>
            <w:r>
              <w:rPr>
                <w:rFonts w:ascii="Arial" w:cs="Arial" w:eastAsia="Arial" w:hAnsi="Arial"/>
                <w:sz w:val="12"/>
                <w:szCs w:val="12"/>
                <w:b w:val="1"/>
                <w:bCs w:val="1"/>
                <w:color w:val="auto"/>
              </w:rPr>
              <w:t>Reconciliation of Adjusted Operating Income (Loss)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60" w:type="dxa"/>
            <w:vAlign w:val="bottom"/>
            <w:shd w:val="clear" w:color="auto" w:fill="CCFFCC"/>
          </w:tcPr>
          <w:p>
            <w:pPr>
              <w:ind w:left="20"/>
              <w:spacing w:after="0"/>
              <w:rPr>
                <w:sz w:val="20"/>
                <w:szCs w:val="20"/>
                <w:color w:val="auto"/>
              </w:rPr>
            </w:pPr>
            <w:r>
              <w:rPr>
                <w:rFonts w:ascii="Arial" w:cs="Arial" w:eastAsia="Arial" w:hAnsi="Arial"/>
                <w:sz w:val="12"/>
                <w:szCs w:val="12"/>
                <w:color w:val="auto"/>
              </w:rPr>
              <w:t>Loss before provision for income taxes</w:t>
            </w:r>
          </w:p>
        </w:tc>
        <w:tc>
          <w:tcPr>
            <w:tcW w:w="300" w:type="dxa"/>
            <w:vAlign w:val="bottom"/>
            <w:shd w:val="clear" w:color="auto" w:fill="CCFFCC"/>
          </w:tcPr>
          <w:p>
            <w:pPr>
              <w:jc w:val="right"/>
              <w:ind w:right="158"/>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(18,966)</w:t>
            </w:r>
          </w:p>
        </w:tc>
        <w:tc>
          <w:tcPr>
            <w:tcW w:w="620" w:type="dxa"/>
            <w:vAlign w:val="bottom"/>
            <w:gridSpan w:val="2"/>
            <w:shd w:val="clear" w:color="auto" w:fill="CCFFCC"/>
          </w:tcPr>
          <w:p>
            <w:pPr>
              <w:jc w:val="right"/>
              <w:ind w:right="118"/>
              <w:spacing w:after="0"/>
              <w:rPr>
                <w:sz w:val="20"/>
                <w:szCs w:val="20"/>
                <w:color w:val="auto"/>
              </w:rPr>
            </w:pPr>
            <w:r>
              <w:rPr>
                <w:rFonts w:ascii="Arial" w:cs="Arial" w:eastAsia="Arial" w:hAnsi="Arial"/>
                <w:sz w:val="12"/>
                <w:szCs w:val="12"/>
                <w:color w:val="auto"/>
              </w:rPr>
              <w:t>$</w:t>
            </w:r>
          </w:p>
        </w:tc>
        <w:tc>
          <w:tcPr>
            <w:tcW w:w="880" w:type="dxa"/>
            <w:vAlign w:val="bottom"/>
            <w:shd w:val="clear" w:color="auto" w:fill="CCFFCC"/>
          </w:tcPr>
          <w:p>
            <w:pPr>
              <w:jc w:val="right"/>
              <w:ind w:right="18"/>
              <w:spacing w:after="0"/>
              <w:rPr>
                <w:sz w:val="20"/>
                <w:szCs w:val="20"/>
                <w:color w:val="auto"/>
              </w:rPr>
            </w:pPr>
            <w:r>
              <w:rPr>
                <w:rFonts w:ascii="Arial" w:cs="Arial" w:eastAsia="Arial" w:hAnsi="Arial"/>
                <w:sz w:val="12"/>
                <w:szCs w:val="12"/>
                <w:color w:val="auto"/>
              </w:rPr>
              <w:t>(23,288)</w:t>
            </w: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(55,615)</w:t>
            </w:r>
          </w:p>
        </w:tc>
        <w:tc>
          <w:tcPr>
            <w:tcW w:w="580" w:type="dxa"/>
            <w:vAlign w:val="bottom"/>
            <w:gridSpan w:val="2"/>
            <w:shd w:val="clear" w:color="auto" w:fill="CCFFCC"/>
          </w:tcPr>
          <w:p>
            <w:pPr>
              <w:jc w:val="right"/>
              <w:ind w:right="98"/>
              <w:spacing w:after="0"/>
              <w:rPr>
                <w:sz w:val="20"/>
                <w:szCs w:val="20"/>
                <w:color w:val="auto"/>
              </w:rPr>
            </w:pPr>
            <w:r>
              <w:rPr>
                <w:rFonts w:ascii="Arial" w:cs="Arial" w:eastAsia="Arial" w:hAnsi="Arial"/>
                <w:sz w:val="12"/>
                <w:szCs w:val="12"/>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(41,585)</w:t>
            </w:r>
          </w:p>
        </w:tc>
        <w:tc>
          <w:tcPr>
            <w:tcW w:w="6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60" w:type="dxa"/>
            <w:vAlign w:val="bottom"/>
          </w:tcPr>
          <w:p>
            <w:pPr>
              <w:ind w:left="220"/>
              <w:spacing w:after="0"/>
              <w:rPr>
                <w:sz w:val="20"/>
                <w:szCs w:val="20"/>
                <w:color w:val="auto"/>
              </w:rPr>
            </w:pPr>
            <w:r>
              <w:rPr>
                <w:rFonts w:ascii="Arial" w:cs="Arial" w:eastAsia="Arial" w:hAnsi="Arial"/>
                <w:sz w:val="12"/>
                <w:szCs w:val="12"/>
                <w:color w:val="auto"/>
              </w:rPr>
              <w:t>Amortization of purchased intangibles</w:t>
            </w:r>
          </w:p>
        </w:tc>
        <w:tc>
          <w:tcPr>
            <w:tcW w:w="3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688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723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2"/>
                <w:szCs w:val="12"/>
                <w:color w:val="auto"/>
              </w:rPr>
              <w:t>1,377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2"/>
                <w:szCs w:val="12"/>
                <w:color w:val="auto"/>
              </w:rPr>
              <w:t>1,469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60" w:type="dxa"/>
            <w:vAlign w:val="bottom"/>
            <w:shd w:val="clear" w:color="auto" w:fill="CCFFCC"/>
          </w:tcPr>
          <w:p>
            <w:pPr>
              <w:ind w:left="220"/>
              <w:spacing w:after="0"/>
              <w:rPr>
                <w:sz w:val="20"/>
                <w:szCs w:val="20"/>
                <w:color w:val="auto"/>
              </w:rPr>
            </w:pPr>
            <w:r>
              <w:rPr>
                <w:rFonts w:ascii="Arial" w:cs="Arial" w:eastAsia="Arial" w:hAnsi="Arial"/>
                <w:sz w:val="12"/>
                <w:szCs w:val="12"/>
                <w:color w:val="auto"/>
              </w:rPr>
              <w:t>Stock-based compensation</w:t>
            </w:r>
          </w:p>
        </w:tc>
        <w:tc>
          <w:tcPr>
            <w:tcW w:w="300" w:type="dxa"/>
            <w:vAlign w:val="bottom"/>
            <w:shd w:val="clear" w:color="auto" w:fill="CCFFCC"/>
          </w:tcPr>
          <w:p>
            <w:pPr>
              <w:spacing w:after="0"/>
              <w:rPr>
                <w:sz w:val="20"/>
                <w:szCs w:val="20"/>
                <w:color w:val="auto"/>
              </w:rPr>
            </w:pPr>
          </w:p>
        </w:tc>
        <w:tc>
          <w:tcPr>
            <w:tcW w:w="94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15,945</w:t>
            </w:r>
          </w:p>
        </w:tc>
        <w:tc>
          <w:tcPr>
            <w:tcW w:w="34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9,305</w:t>
            </w: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30,642</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16,471</w:t>
            </w:r>
          </w:p>
        </w:tc>
        <w:tc>
          <w:tcPr>
            <w:tcW w:w="6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960" w:type="dxa"/>
            <w:vAlign w:val="bottom"/>
          </w:tcPr>
          <w:p>
            <w:pPr>
              <w:ind w:left="220"/>
              <w:spacing w:after="0"/>
              <w:rPr>
                <w:sz w:val="20"/>
                <w:szCs w:val="20"/>
                <w:color w:val="auto"/>
              </w:rPr>
            </w:pPr>
            <w:r>
              <w:rPr>
                <w:rFonts w:ascii="Arial" w:cs="Arial" w:eastAsia="Arial" w:hAnsi="Arial"/>
                <w:sz w:val="12"/>
                <w:szCs w:val="12"/>
                <w:color w:val="auto"/>
              </w:rPr>
              <w:t>Restructuring costs</w:t>
            </w:r>
          </w:p>
        </w:tc>
        <w:tc>
          <w:tcPr>
            <w:tcW w:w="300" w:type="dxa"/>
            <w:vAlign w:val="bottom"/>
          </w:tcPr>
          <w:p>
            <w:pPr>
              <w:spacing w:after="0"/>
              <w:rPr>
                <w:sz w:val="13"/>
                <w:szCs w:val="13"/>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205</w:t>
            </w:r>
          </w:p>
        </w:tc>
        <w:tc>
          <w:tcPr>
            <w:tcW w:w="340" w:type="dxa"/>
            <w:vAlign w:val="bottom"/>
            <w:vMerge w:val="restart"/>
          </w:tcPr>
          <w:p>
            <w:pPr>
              <w:jc w:val="right"/>
              <w:ind w:right="201"/>
              <w:spacing w:after="0"/>
              <w:rPr>
                <w:sz w:val="20"/>
                <w:szCs w:val="20"/>
                <w:color w:val="auto"/>
              </w:rPr>
            </w:pPr>
            <w:r>
              <w:rPr>
                <w:rFonts w:ascii="Arial" w:cs="Arial" w:eastAsia="Arial" w:hAnsi="Arial"/>
                <w:sz w:val="8"/>
                <w:szCs w:val="8"/>
                <w:color w:val="auto"/>
                <w:w w:val="81"/>
              </w:rPr>
              <w:t>(1)</w:t>
            </w:r>
          </w:p>
        </w:tc>
        <w:tc>
          <w:tcPr>
            <w:tcW w:w="26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2"/>
                <w:szCs w:val="12"/>
                <w:color w:val="auto"/>
              </w:rPr>
              <w:t>3,193</w:t>
            </w:r>
          </w:p>
        </w:tc>
        <w:tc>
          <w:tcPr>
            <w:tcW w:w="340" w:type="dxa"/>
            <w:vAlign w:val="bottom"/>
            <w:vMerge w:val="restart"/>
          </w:tcPr>
          <w:p>
            <w:pPr>
              <w:jc w:val="right"/>
              <w:ind w:right="175"/>
              <w:spacing w:after="0"/>
              <w:rPr>
                <w:sz w:val="20"/>
                <w:szCs w:val="20"/>
                <w:color w:val="auto"/>
              </w:rPr>
            </w:pPr>
            <w:r>
              <w:rPr>
                <w:rFonts w:ascii="Arial" w:cs="Arial" w:eastAsia="Arial" w:hAnsi="Arial"/>
                <w:sz w:val="8"/>
                <w:szCs w:val="8"/>
                <w:color w:val="auto"/>
              </w:rPr>
              <w:t>(3)</w:t>
            </w:r>
          </w:p>
        </w:tc>
        <w:tc>
          <w:tcPr>
            <w:tcW w:w="24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2"/>
                <w:szCs w:val="12"/>
                <w:color w:val="auto"/>
              </w:rPr>
              <w:t>484</w:t>
            </w:r>
          </w:p>
        </w:tc>
        <w:tc>
          <w:tcPr>
            <w:tcW w:w="660" w:type="dxa"/>
            <w:vAlign w:val="bottom"/>
            <w:vMerge w:val="restart"/>
          </w:tcPr>
          <w:p>
            <w:pPr>
              <w:jc w:val="right"/>
              <w:ind w:right="501"/>
              <w:spacing w:after="0"/>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2"/>
        </w:trPr>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960" w:type="dxa"/>
            <w:vAlign w:val="bottom"/>
            <w:shd w:val="clear" w:color="auto" w:fill="CCFFCC"/>
          </w:tcPr>
          <w:p>
            <w:pPr>
              <w:ind w:left="220"/>
              <w:spacing w:after="0"/>
              <w:rPr>
                <w:sz w:val="20"/>
                <w:szCs w:val="20"/>
                <w:color w:val="auto"/>
              </w:rPr>
            </w:pPr>
            <w:r>
              <w:rPr>
                <w:rFonts w:ascii="Arial" w:cs="Arial" w:eastAsia="Arial" w:hAnsi="Arial"/>
                <w:sz w:val="12"/>
                <w:szCs w:val="12"/>
                <w:color w:val="auto"/>
              </w:rPr>
              <w:t>Other litigation and consulting costs</w:t>
            </w:r>
          </w:p>
        </w:tc>
        <w:tc>
          <w:tcPr>
            <w:tcW w:w="300" w:type="dxa"/>
            <w:vAlign w:val="bottom"/>
            <w:shd w:val="clear" w:color="auto" w:fill="CCFFCC"/>
          </w:tcPr>
          <w:p>
            <w:pPr>
              <w:spacing w:after="0"/>
              <w:rPr>
                <w:sz w:val="13"/>
                <w:szCs w:val="13"/>
                <w:color w:val="auto"/>
              </w:rPr>
            </w:pPr>
          </w:p>
        </w:tc>
        <w:tc>
          <w:tcPr>
            <w:tcW w:w="94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1,338</w:t>
            </w:r>
          </w:p>
        </w:tc>
        <w:tc>
          <w:tcPr>
            <w:tcW w:w="340" w:type="dxa"/>
            <w:vAlign w:val="bottom"/>
            <w:vMerge w:val="restart"/>
            <w:shd w:val="clear" w:color="auto" w:fill="CCFFCC"/>
          </w:tcPr>
          <w:p>
            <w:pPr>
              <w:jc w:val="right"/>
              <w:ind w:right="173"/>
              <w:spacing w:after="0"/>
              <w:rPr>
                <w:sz w:val="20"/>
                <w:szCs w:val="20"/>
                <w:color w:val="auto"/>
              </w:rPr>
            </w:pPr>
            <w:r>
              <w:rPr>
                <w:rFonts w:ascii="Arial" w:cs="Arial" w:eastAsia="Arial" w:hAnsi="Arial"/>
                <w:sz w:val="8"/>
                <w:szCs w:val="8"/>
                <w:color w:val="auto"/>
              </w:rPr>
              <w:t>(2)</w:t>
            </w:r>
          </w:p>
        </w:tc>
        <w:tc>
          <w:tcPr>
            <w:tcW w:w="280" w:type="dxa"/>
            <w:vAlign w:val="bottom"/>
            <w:shd w:val="clear" w:color="auto" w:fill="CCFFCC"/>
          </w:tcPr>
          <w:p>
            <w:pPr>
              <w:spacing w:after="0"/>
              <w:rPr>
                <w:sz w:val="13"/>
                <w:szCs w:val="13"/>
                <w:color w:val="auto"/>
              </w:rPr>
            </w:pPr>
          </w:p>
        </w:tc>
        <w:tc>
          <w:tcPr>
            <w:tcW w:w="88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1,727</w:t>
            </w:r>
          </w:p>
        </w:tc>
        <w:tc>
          <w:tcPr>
            <w:tcW w:w="340" w:type="dxa"/>
            <w:vAlign w:val="bottom"/>
            <w:vMerge w:val="restart"/>
            <w:shd w:val="clear" w:color="auto" w:fill="CCFFCC"/>
          </w:tcPr>
          <w:p>
            <w:pPr>
              <w:jc w:val="right"/>
              <w:ind w:right="201"/>
              <w:spacing w:after="0"/>
              <w:rPr>
                <w:sz w:val="20"/>
                <w:szCs w:val="20"/>
                <w:color w:val="auto"/>
              </w:rPr>
            </w:pPr>
            <w:r>
              <w:rPr>
                <w:rFonts w:ascii="Arial" w:cs="Arial" w:eastAsia="Arial" w:hAnsi="Arial"/>
                <w:sz w:val="8"/>
                <w:szCs w:val="8"/>
                <w:color w:val="auto"/>
                <w:w w:val="81"/>
              </w:rPr>
              <w:t>(2)</w:t>
            </w:r>
          </w:p>
        </w:tc>
        <w:tc>
          <w:tcPr>
            <w:tcW w:w="260" w:type="dxa"/>
            <w:vAlign w:val="bottom"/>
            <w:shd w:val="clear" w:color="auto" w:fill="CCFFCC"/>
          </w:tcPr>
          <w:p>
            <w:pPr>
              <w:spacing w:after="0"/>
              <w:rPr>
                <w:sz w:val="13"/>
                <w:szCs w:val="13"/>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6,046</w:t>
            </w:r>
          </w:p>
        </w:tc>
        <w:tc>
          <w:tcPr>
            <w:tcW w:w="340" w:type="dxa"/>
            <w:vAlign w:val="bottom"/>
            <w:vMerge w:val="restart"/>
            <w:shd w:val="clear" w:color="auto" w:fill="CCFFCC"/>
          </w:tcPr>
          <w:p>
            <w:pPr>
              <w:jc w:val="right"/>
              <w:ind w:right="175"/>
              <w:spacing w:after="0"/>
              <w:rPr>
                <w:sz w:val="20"/>
                <w:szCs w:val="20"/>
                <w:color w:val="auto"/>
              </w:rPr>
            </w:pPr>
            <w:r>
              <w:rPr>
                <w:rFonts w:ascii="Arial" w:cs="Arial" w:eastAsia="Arial" w:hAnsi="Arial"/>
                <w:sz w:val="8"/>
                <w:szCs w:val="8"/>
                <w:color w:val="auto"/>
              </w:rPr>
              <w:t>(4)</w:t>
            </w:r>
          </w:p>
        </w:tc>
        <w:tc>
          <w:tcPr>
            <w:tcW w:w="240" w:type="dxa"/>
            <w:vAlign w:val="bottom"/>
            <w:shd w:val="clear" w:color="auto" w:fill="CCFFCC"/>
          </w:tcPr>
          <w:p>
            <w:pPr>
              <w:spacing w:after="0"/>
              <w:rPr>
                <w:sz w:val="13"/>
                <w:szCs w:val="13"/>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4,144</w:t>
            </w:r>
          </w:p>
        </w:tc>
        <w:tc>
          <w:tcPr>
            <w:tcW w:w="660" w:type="dxa"/>
            <w:vAlign w:val="bottom"/>
            <w:vMerge w:val="restart"/>
            <w:shd w:val="clear" w:color="auto" w:fill="CCFFCC"/>
          </w:tcPr>
          <w:p>
            <w:pPr>
              <w:jc w:val="right"/>
              <w:ind w:right="501"/>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62"/>
        </w:trPr>
        <w:tc>
          <w:tcPr>
            <w:tcW w:w="4960" w:type="dxa"/>
            <w:vAlign w:val="bottom"/>
            <w:tcBorders>
              <w:bottom w:val="single" w:sz="8" w:color="CCFFCC"/>
            </w:tcBorders>
            <w:shd w:val="clear" w:color="auto" w:fill="CCFFCC"/>
          </w:tcPr>
          <w:p>
            <w:pPr>
              <w:spacing w:after="0"/>
              <w:rPr>
                <w:sz w:val="5"/>
                <w:szCs w:val="5"/>
                <w:color w:val="auto"/>
              </w:rPr>
            </w:pPr>
          </w:p>
        </w:tc>
        <w:tc>
          <w:tcPr>
            <w:tcW w:w="300" w:type="dxa"/>
            <w:vAlign w:val="bottom"/>
            <w:tcBorders>
              <w:bottom w:val="single" w:sz="8" w:color="CCFFCC"/>
            </w:tcBorders>
            <w:shd w:val="clear" w:color="auto" w:fill="CCFFCC"/>
          </w:tcPr>
          <w:p>
            <w:pPr>
              <w:spacing w:after="0"/>
              <w:rPr>
                <w:sz w:val="5"/>
                <w:szCs w:val="5"/>
                <w:color w:val="auto"/>
              </w:rPr>
            </w:pPr>
          </w:p>
        </w:tc>
        <w:tc>
          <w:tcPr>
            <w:tcW w:w="940" w:type="dxa"/>
            <w:vAlign w:val="bottom"/>
            <w:tcBorders>
              <w:bottom w:val="single" w:sz="8" w:color="CCFFCC"/>
            </w:tcBorders>
            <w:shd w:val="clear" w:color="auto" w:fill="CCFFCC"/>
          </w:tcPr>
          <w:p>
            <w:pPr>
              <w:spacing w:after="0"/>
              <w:rPr>
                <w:sz w:val="5"/>
                <w:szCs w:val="5"/>
                <w:color w:val="auto"/>
              </w:rPr>
            </w:pPr>
          </w:p>
        </w:tc>
        <w:tc>
          <w:tcPr>
            <w:tcW w:w="340" w:type="dxa"/>
            <w:vAlign w:val="bottom"/>
            <w:tcBorders>
              <w:bottom w:val="single" w:sz="8" w:color="CCFFCC"/>
            </w:tcBorders>
            <w:vMerge w:val="continue"/>
            <w:shd w:val="clear" w:color="auto" w:fill="CCFFCC"/>
          </w:tcPr>
          <w:p>
            <w:pPr>
              <w:spacing w:after="0"/>
              <w:rPr>
                <w:sz w:val="5"/>
                <w:szCs w:val="5"/>
                <w:color w:val="auto"/>
              </w:rPr>
            </w:pPr>
          </w:p>
        </w:tc>
        <w:tc>
          <w:tcPr>
            <w:tcW w:w="280" w:type="dxa"/>
            <w:vAlign w:val="bottom"/>
            <w:tcBorders>
              <w:bottom w:val="single" w:sz="8" w:color="CCFFCC"/>
            </w:tcBorders>
            <w:shd w:val="clear" w:color="auto" w:fill="CCFFCC"/>
          </w:tcPr>
          <w:p>
            <w:pPr>
              <w:spacing w:after="0"/>
              <w:rPr>
                <w:sz w:val="5"/>
                <w:szCs w:val="5"/>
                <w:color w:val="auto"/>
              </w:rPr>
            </w:pPr>
          </w:p>
        </w:tc>
        <w:tc>
          <w:tcPr>
            <w:tcW w:w="880" w:type="dxa"/>
            <w:vAlign w:val="bottom"/>
            <w:tcBorders>
              <w:bottom w:val="single" w:sz="8" w:color="CCFFCC"/>
            </w:tcBorders>
            <w:shd w:val="clear" w:color="auto" w:fill="CCFFCC"/>
          </w:tcPr>
          <w:p>
            <w:pPr>
              <w:spacing w:after="0"/>
              <w:rPr>
                <w:sz w:val="5"/>
                <w:szCs w:val="5"/>
                <w:color w:val="auto"/>
              </w:rPr>
            </w:pPr>
          </w:p>
        </w:tc>
        <w:tc>
          <w:tcPr>
            <w:tcW w:w="340" w:type="dxa"/>
            <w:vAlign w:val="bottom"/>
            <w:tcBorders>
              <w:bottom w:val="single" w:sz="8" w:color="CCFFCC"/>
            </w:tcBorders>
            <w:vMerge w:val="continue"/>
            <w:shd w:val="clear" w:color="auto" w:fill="CCFFCC"/>
          </w:tcPr>
          <w:p>
            <w:pPr>
              <w:spacing w:after="0"/>
              <w:rPr>
                <w:sz w:val="5"/>
                <w:szCs w:val="5"/>
                <w:color w:val="auto"/>
              </w:rPr>
            </w:pPr>
          </w:p>
        </w:tc>
        <w:tc>
          <w:tcPr>
            <w:tcW w:w="260" w:type="dxa"/>
            <w:vAlign w:val="bottom"/>
            <w:tcBorders>
              <w:bottom w:val="single" w:sz="8" w:color="CCFFCC"/>
            </w:tcBorders>
            <w:shd w:val="clear" w:color="auto" w:fill="CCFFCC"/>
          </w:tcPr>
          <w:p>
            <w:pPr>
              <w:spacing w:after="0"/>
              <w:rPr>
                <w:sz w:val="5"/>
                <w:szCs w:val="5"/>
                <w:color w:val="auto"/>
              </w:rPr>
            </w:pPr>
          </w:p>
        </w:tc>
        <w:tc>
          <w:tcPr>
            <w:tcW w:w="860" w:type="dxa"/>
            <w:vAlign w:val="bottom"/>
            <w:tcBorders>
              <w:bottom w:val="single" w:sz="8" w:color="CCFFCC"/>
            </w:tcBorders>
            <w:shd w:val="clear" w:color="auto" w:fill="CCFFCC"/>
          </w:tcPr>
          <w:p>
            <w:pPr>
              <w:spacing w:after="0"/>
              <w:rPr>
                <w:sz w:val="5"/>
                <w:szCs w:val="5"/>
                <w:color w:val="auto"/>
              </w:rPr>
            </w:pPr>
          </w:p>
        </w:tc>
        <w:tc>
          <w:tcPr>
            <w:tcW w:w="340" w:type="dxa"/>
            <w:vAlign w:val="bottom"/>
            <w:tcBorders>
              <w:bottom w:val="single" w:sz="8" w:color="CCFFCC"/>
            </w:tcBorders>
            <w:vMerge w:val="continue"/>
            <w:shd w:val="clear" w:color="auto" w:fill="CCFFCC"/>
          </w:tcPr>
          <w:p>
            <w:pPr>
              <w:spacing w:after="0"/>
              <w:rPr>
                <w:sz w:val="5"/>
                <w:szCs w:val="5"/>
                <w:color w:val="auto"/>
              </w:rPr>
            </w:pPr>
          </w:p>
        </w:tc>
        <w:tc>
          <w:tcPr>
            <w:tcW w:w="240" w:type="dxa"/>
            <w:vAlign w:val="bottom"/>
            <w:tcBorders>
              <w:bottom w:val="single" w:sz="8" w:color="CCFFCC"/>
            </w:tcBorders>
            <w:shd w:val="clear" w:color="auto" w:fill="CCFFCC"/>
          </w:tcPr>
          <w:p>
            <w:pPr>
              <w:spacing w:after="0"/>
              <w:rPr>
                <w:sz w:val="5"/>
                <w:szCs w:val="5"/>
                <w:color w:val="auto"/>
              </w:rPr>
            </w:pPr>
          </w:p>
        </w:tc>
        <w:tc>
          <w:tcPr>
            <w:tcW w:w="860" w:type="dxa"/>
            <w:vAlign w:val="bottom"/>
            <w:tcBorders>
              <w:bottom w:val="single" w:sz="8" w:color="CCFFCC"/>
            </w:tcBorders>
            <w:shd w:val="clear" w:color="auto" w:fill="CCFFCC"/>
          </w:tcPr>
          <w:p>
            <w:pPr>
              <w:spacing w:after="0"/>
              <w:rPr>
                <w:sz w:val="5"/>
                <w:szCs w:val="5"/>
                <w:color w:val="auto"/>
              </w:rPr>
            </w:pPr>
          </w:p>
        </w:tc>
        <w:tc>
          <w:tcPr>
            <w:tcW w:w="660" w:type="dxa"/>
            <w:vAlign w:val="bottom"/>
            <w:tcBorders>
              <w:bottom w:val="single" w:sz="8" w:color="CCFFCC"/>
            </w:tcBorders>
            <w:vMerge w:val="continue"/>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960" w:type="dxa"/>
            <w:vAlign w:val="bottom"/>
          </w:tcPr>
          <w:p>
            <w:pPr>
              <w:ind w:left="220"/>
              <w:spacing w:after="0"/>
              <w:rPr>
                <w:sz w:val="20"/>
                <w:szCs w:val="20"/>
                <w:color w:val="auto"/>
              </w:rPr>
            </w:pPr>
            <w:r>
              <w:rPr>
                <w:rFonts w:ascii="Arial" w:cs="Arial" w:eastAsia="Arial" w:hAnsi="Arial"/>
                <w:sz w:val="12"/>
                <w:szCs w:val="12"/>
                <w:color w:val="auto"/>
              </w:rPr>
              <w:t>Contingent earn-out adjustments</w:t>
            </w:r>
          </w:p>
        </w:tc>
        <w:tc>
          <w:tcPr>
            <w:tcW w:w="3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960" w:type="dxa"/>
            <w:vAlign w:val="bottom"/>
            <w:shd w:val="clear" w:color="auto" w:fill="CCFFCC"/>
          </w:tcPr>
          <w:p>
            <w:pPr>
              <w:ind w:left="220"/>
              <w:spacing w:after="0"/>
              <w:rPr>
                <w:sz w:val="20"/>
                <w:szCs w:val="20"/>
                <w:color w:val="auto"/>
              </w:rPr>
            </w:pPr>
            <w:r>
              <w:rPr>
                <w:rFonts w:ascii="Arial" w:cs="Arial" w:eastAsia="Arial" w:hAnsi="Arial"/>
                <w:sz w:val="12"/>
                <w:szCs w:val="12"/>
                <w:color w:val="auto"/>
              </w:rPr>
              <w:t>Acquisition costs</w:t>
            </w:r>
          </w:p>
        </w:tc>
        <w:tc>
          <w:tcPr>
            <w:tcW w:w="300" w:type="dxa"/>
            <w:vAlign w:val="bottom"/>
            <w:shd w:val="clear" w:color="auto" w:fill="CCFFCC"/>
          </w:tcPr>
          <w:p>
            <w:pPr>
              <w:spacing w:after="0"/>
              <w:rPr>
                <w:sz w:val="20"/>
                <w:szCs w:val="20"/>
                <w:color w:val="auto"/>
              </w:rPr>
            </w:pPr>
          </w:p>
        </w:tc>
        <w:tc>
          <w:tcPr>
            <w:tcW w:w="94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648</w:t>
            </w:r>
          </w:p>
        </w:tc>
        <w:tc>
          <w:tcPr>
            <w:tcW w:w="6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60" w:type="dxa"/>
            <w:vAlign w:val="bottom"/>
          </w:tcPr>
          <w:p>
            <w:pPr>
              <w:ind w:left="220"/>
              <w:spacing w:after="0"/>
              <w:rPr>
                <w:sz w:val="20"/>
                <w:szCs w:val="20"/>
                <w:color w:val="auto"/>
              </w:rPr>
            </w:pPr>
            <w:r>
              <w:rPr>
                <w:rFonts w:ascii="Arial" w:cs="Arial" w:eastAsia="Arial" w:hAnsi="Arial"/>
                <w:sz w:val="12"/>
                <w:szCs w:val="12"/>
                <w:color w:val="auto"/>
              </w:rPr>
              <w:t>Interest income (expense)</w:t>
            </w:r>
          </w:p>
        </w:tc>
        <w:tc>
          <w:tcPr>
            <w:tcW w:w="3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2"/>
                <w:szCs w:val="12"/>
                <w:color w:val="auto"/>
              </w:rPr>
              <w:t>3,211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2,017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6,002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2,684</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FFCC"/>
          </w:tcPr>
          <w:p>
            <w:pPr>
              <w:ind w:left="220"/>
              <w:spacing w:after="0"/>
              <w:rPr>
                <w:sz w:val="20"/>
                <w:szCs w:val="20"/>
                <w:color w:val="auto"/>
              </w:rPr>
            </w:pPr>
            <w:r>
              <w:rPr>
                <w:rFonts w:ascii="Arial" w:cs="Arial" w:eastAsia="Arial" w:hAnsi="Arial"/>
                <w:sz w:val="12"/>
                <w:szCs w:val="12"/>
                <w:color w:val="auto"/>
              </w:rPr>
              <w:t>Other expense (income), net</w:t>
            </w:r>
          </w:p>
        </w:tc>
        <w:tc>
          <w:tcPr>
            <w:tcW w:w="300" w:type="dxa"/>
            <w:vAlign w:val="bottom"/>
            <w:shd w:val="clear" w:color="auto" w:fill="CCFFCC"/>
          </w:tcPr>
          <w:p>
            <w:pPr>
              <w:spacing w:after="0"/>
              <w:rPr>
                <w:sz w:val="20"/>
                <w:szCs w:val="20"/>
                <w:color w:val="auto"/>
              </w:rPr>
            </w:pPr>
          </w:p>
        </w:tc>
        <w:tc>
          <w:tcPr>
            <w:tcW w:w="940" w:type="dxa"/>
            <w:vAlign w:val="bottom"/>
            <w:shd w:val="clear" w:color="auto" w:fill="CCFFCC"/>
          </w:tcPr>
          <w:p>
            <w:pPr>
              <w:jc w:val="right"/>
              <w:ind w:right="38"/>
              <w:spacing w:after="0"/>
              <w:rPr>
                <w:sz w:val="20"/>
                <w:szCs w:val="20"/>
                <w:color w:val="auto"/>
              </w:rPr>
            </w:pPr>
            <w:r>
              <w:rPr>
                <w:rFonts w:ascii="Arial" w:cs="Arial" w:eastAsia="Arial" w:hAnsi="Arial"/>
                <w:sz w:val="12"/>
                <w:szCs w:val="12"/>
                <w:color w:val="auto"/>
              </w:rPr>
              <w:t>1,309</w:t>
            </w:r>
          </w:p>
        </w:tc>
        <w:tc>
          <w:tcPr>
            <w:tcW w:w="340" w:type="dxa"/>
            <w:vAlign w:val="bottom"/>
            <w:shd w:val="clear" w:color="auto" w:fill="CCFFCC"/>
          </w:tcPr>
          <w:p>
            <w:pPr>
              <w:jc w:val="right"/>
              <w:ind w:right="173"/>
              <w:spacing w:after="0"/>
              <w:rPr>
                <w:sz w:val="20"/>
                <w:szCs w:val="20"/>
                <w:color w:val="auto"/>
              </w:rPr>
            </w:pPr>
            <w:r>
              <w:rPr>
                <w:rFonts w:ascii="Arial" w:cs="Arial" w:eastAsia="Arial" w:hAnsi="Arial"/>
                <w:sz w:val="8"/>
                <w:szCs w:val="8"/>
                <w:color w:val="auto"/>
              </w:rPr>
              <w:t>(5)</w:t>
            </w:r>
          </w:p>
        </w:tc>
        <w:tc>
          <w:tcPr>
            <w:tcW w:w="28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58"/>
              <w:spacing w:after="0"/>
              <w:rPr>
                <w:sz w:val="20"/>
                <w:szCs w:val="20"/>
                <w:color w:val="auto"/>
              </w:rPr>
            </w:pPr>
            <w:r>
              <w:rPr>
                <w:rFonts w:ascii="Arial" w:cs="Arial" w:eastAsia="Arial" w:hAnsi="Arial"/>
                <w:sz w:val="12"/>
                <w:szCs w:val="12"/>
                <w:color w:val="auto"/>
              </w:rPr>
              <w:t>250</w:t>
            </w:r>
          </w:p>
        </w:tc>
        <w:tc>
          <w:tcPr>
            <w:tcW w:w="340" w:type="dxa"/>
            <w:vAlign w:val="bottom"/>
            <w:shd w:val="clear" w:color="auto" w:fill="CCFFCC"/>
          </w:tcPr>
          <w:p>
            <w:pPr>
              <w:jc w:val="right"/>
              <w:ind w:right="201"/>
              <w:spacing w:after="0"/>
              <w:rPr>
                <w:sz w:val="20"/>
                <w:szCs w:val="20"/>
                <w:color w:val="auto"/>
              </w:rPr>
            </w:pPr>
            <w:r>
              <w:rPr>
                <w:rFonts w:ascii="Arial" w:cs="Arial" w:eastAsia="Arial" w:hAnsi="Arial"/>
                <w:sz w:val="8"/>
                <w:szCs w:val="8"/>
                <w:color w:val="auto"/>
                <w:w w:val="81"/>
              </w:rPr>
              <w:t>(5)</w:t>
            </w:r>
          </w:p>
        </w:tc>
        <w:tc>
          <w:tcPr>
            <w:tcW w:w="260" w:type="dxa"/>
            <w:vAlign w:val="bottom"/>
            <w:shd w:val="clear" w:color="auto" w:fill="CCFFCC"/>
          </w:tcPr>
          <w:p>
            <w:pPr>
              <w:spacing w:after="0"/>
              <w:rPr>
                <w:sz w:val="20"/>
                <w:szCs w:val="20"/>
                <w:color w:val="auto"/>
              </w:rPr>
            </w:pPr>
          </w:p>
        </w:tc>
        <w:tc>
          <w:tcPr>
            <w:tcW w:w="860" w:type="dxa"/>
            <w:vAlign w:val="bottom"/>
            <w:shd w:val="clear" w:color="auto" w:fill="CCFFCC"/>
          </w:tcPr>
          <w:p>
            <w:pPr>
              <w:jc w:val="right"/>
              <w:ind w:right="37"/>
              <w:spacing w:after="0"/>
              <w:rPr>
                <w:sz w:val="20"/>
                <w:szCs w:val="20"/>
                <w:color w:val="auto"/>
              </w:rPr>
            </w:pPr>
            <w:r>
              <w:rPr>
                <w:rFonts w:ascii="Arial" w:cs="Arial" w:eastAsia="Arial" w:hAnsi="Arial"/>
                <w:sz w:val="12"/>
                <w:szCs w:val="12"/>
                <w:color w:val="auto"/>
              </w:rPr>
              <w:t>1,975</w:t>
            </w:r>
          </w:p>
        </w:tc>
        <w:tc>
          <w:tcPr>
            <w:tcW w:w="340" w:type="dxa"/>
            <w:vAlign w:val="bottom"/>
            <w:shd w:val="clear" w:color="auto" w:fill="CCFFCC"/>
          </w:tcPr>
          <w:p>
            <w:pPr>
              <w:jc w:val="right"/>
              <w:ind w:right="175"/>
              <w:spacing w:after="0"/>
              <w:rPr>
                <w:sz w:val="20"/>
                <w:szCs w:val="20"/>
                <w:color w:val="auto"/>
              </w:rPr>
            </w:pPr>
            <w:r>
              <w:rPr>
                <w:rFonts w:ascii="Arial" w:cs="Arial" w:eastAsia="Arial" w:hAnsi="Arial"/>
                <w:sz w:val="8"/>
                <w:szCs w:val="8"/>
                <w:color w:val="auto"/>
              </w:rPr>
              <w:t>(5)</w:t>
            </w:r>
          </w:p>
        </w:tc>
        <w:tc>
          <w:tcPr>
            <w:tcW w:w="240" w:type="dxa"/>
            <w:vAlign w:val="bottom"/>
            <w:shd w:val="clear" w:color="auto" w:fill="CCFFCC"/>
          </w:tcPr>
          <w:p>
            <w:pPr>
              <w:spacing w:after="0"/>
              <w:rPr>
                <w:sz w:val="20"/>
                <w:szCs w:val="20"/>
                <w:color w:val="auto"/>
              </w:rPr>
            </w:pPr>
          </w:p>
        </w:tc>
        <w:tc>
          <w:tcPr>
            <w:tcW w:w="1520" w:type="dxa"/>
            <w:vAlign w:val="bottom"/>
            <w:gridSpan w:val="2"/>
            <w:shd w:val="clear" w:color="auto" w:fill="CCFFCC"/>
          </w:tcPr>
          <w:p>
            <w:pPr>
              <w:jc w:val="right"/>
              <w:ind w:right="501"/>
              <w:spacing w:after="0"/>
              <w:rPr>
                <w:sz w:val="20"/>
                <w:szCs w:val="20"/>
                <w:color w:val="auto"/>
              </w:rPr>
            </w:pPr>
            <w:r>
              <w:rPr>
                <w:rFonts w:ascii="Arial" w:cs="Arial" w:eastAsia="Arial" w:hAnsi="Arial"/>
                <w:sz w:val="12"/>
                <w:szCs w:val="12"/>
                <w:color w:val="auto"/>
              </w:rPr>
              <w:t xml:space="preserve">(483)  </w:t>
            </w: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47"/>
        </w:trPr>
        <w:tc>
          <w:tcPr>
            <w:tcW w:w="4960" w:type="dxa"/>
            <w:vAlign w:val="bottom"/>
            <w:tcBorders>
              <w:bottom w:val="single" w:sz="8" w:color="CCFFCC"/>
            </w:tcBorders>
          </w:tcPr>
          <w:p>
            <w:pPr>
              <w:ind w:left="220"/>
              <w:spacing w:after="0"/>
              <w:rPr>
                <w:sz w:val="20"/>
                <w:szCs w:val="20"/>
                <w:color w:val="auto"/>
              </w:rPr>
            </w:pPr>
            <w:r>
              <w:rPr>
                <w:rFonts w:ascii="Arial" w:cs="Arial" w:eastAsia="Arial" w:hAnsi="Arial"/>
                <w:sz w:val="12"/>
                <w:szCs w:val="12"/>
                <w:color w:val="auto"/>
              </w:rPr>
              <w:t>Adjusted operating income (loss)</w:t>
            </w:r>
          </w:p>
        </w:tc>
        <w:tc>
          <w:tcPr>
            <w:tcW w:w="3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3,525</w:t>
            </w:r>
          </w:p>
        </w:tc>
        <w:tc>
          <w:tcPr>
            <w:tcW w:w="340" w:type="dxa"/>
            <w:vAlign w:val="bottom"/>
            <w:tcBorders>
              <w:bottom w:val="single" w:sz="8" w:color="CCFFC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(9,061)</w:t>
            </w:r>
          </w:p>
        </w:tc>
        <w:tc>
          <w:tcPr>
            <w:tcW w:w="340" w:type="dxa"/>
            <w:vAlign w:val="bottom"/>
            <w:tcBorders>
              <w:bottom w:val="single" w:sz="8" w:color="CCFFC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(6,643)</w:t>
            </w:r>
          </w:p>
        </w:tc>
        <w:tc>
          <w:tcPr>
            <w:tcW w:w="340" w:type="dxa"/>
            <w:vAlign w:val="bottom"/>
            <w:tcBorders>
              <w:bottom w:val="single" w:sz="8" w:color="CCFFC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(16,168)</w:t>
            </w:r>
          </w:p>
        </w:tc>
        <w:tc>
          <w:tcPr>
            <w:tcW w:w="660" w:type="dxa"/>
            <w:vAlign w:val="bottom"/>
            <w:tcBorders>
              <w:bottom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6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94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8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00" w:hanging="183"/>
        <w:spacing w:after="0"/>
        <w:tabs>
          <w:tab w:leader="none" w:pos="2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severance costs and other compensation related costs of $0.2 million for the three months ended June 30, 2019.</w:t>
      </w:r>
    </w:p>
    <w:p>
      <w:pPr>
        <w:spacing w:after="0" w:line="37" w:lineRule="exact"/>
        <w:rPr>
          <w:rFonts w:ascii="Arial" w:cs="Arial" w:eastAsia="Arial" w:hAnsi="Arial"/>
          <w:sz w:val="12"/>
          <w:szCs w:val="12"/>
          <w:color w:val="auto"/>
        </w:rPr>
      </w:pPr>
    </w:p>
    <w:p>
      <w:pPr>
        <w:ind w:left="20" w:right="580" w:hanging="3"/>
        <w:spacing w:after="0" w:line="256" w:lineRule="auto"/>
        <w:tabs>
          <w:tab w:leader="none" w:pos="196"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litigation costs of $1.0 million and consulting costs of $0.3 million for the three months ended June 30, 2020, and litigation costs of $1.1 million and consulting costs of $0.6 million for the three months ended June 30, 2019.</w:t>
      </w:r>
    </w:p>
    <w:p>
      <w:pPr>
        <w:spacing w:after="0" w:line="67" w:lineRule="exact"/>
        <w:rPr>
          <w:rFonts w:ascii="Arial" w:cs="Arial" w:eastAsia="Arial" w:hAnsi="Arial"/>
          <w:sz w:val="12"/>
          <w:szCs w:val="12"/>
          <w:color w:val="auto"/>
        </w:rPr>
      </w:pPr>
    </w:p>
    <w:p>
      <w:pPr>
        <w:ind w:left="200" w:hanging="183"/>
        <w:spacing w:after="0"/>
        <w:tabs>
          <w:tab w:leader="none" w:pos="2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severance costs and other compensation related costs of $3.2 million for the six months ended June 30, 2020 and $0.5 million for the six months ended June 30, 2019.</w:t>
      </w:r>
    </w:p>
    <w:p>
      <w:pPr>
        <w:spacing w:after="0" w:line="37" w:lineRule="exact"/>
        <w:rPr>
          <w:rFonts w:ascii="Arial" w:cs="Arial" w:eastAsia="Arial" w:hAnsi="Arial"/>
          <w:sz w:val="12"/>
          <w:szCs w:val="12"/>
          <w:color w:val="auto"/>
        </w:rPr>
      </w:pPr>
    </w:p>
    <w:p>
      <w:pPr>
        <w:ind w:left="20" w:right="480" w:hanging="3"/>
        <w:spacing w:after="0" w:line="256" w:lineRule="auto"/>
        <w:tabs>
          <w:tab w:leader="none" w:pos="196"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litigation costs of $2.3 million, reserve for sales and use tax liability of $2.3 million, employee benefit cost of $0.8 million, and consulting costs of $0.6 million for the six months ended June 30, 2020 and litigation costs of $2.2 million and consulting costs of $1.9 million for the six months ended June 30, 2019.</w:t>
      </w:r>
    </w:p>
    <w:p>
      <w:pPr>
        <w:spacing w:after="0" w:line="9" w:lineRule="exact"/>
        <w:rPr>
          <w:rFonts w:ascii="Arial" w:cs="Arial" w:eastAsia="Arial" w:hAnsi="Arial"/>
          <w:sz w:val="12"/>
          <w:szCs w:val="12"/>
          <w:color w:val="auto"/>
        </w:rPr>
      </w:pPr>
    </w:p>
    <w:p>
      <w:pPr>
        <w:ind w:left="200" w:hanging="183"/>
        <w:spacing w:after="0"/>
        <w:tabs>
          <w:tab w:leader="none" w:pos="2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financial income (expense) which is attributable to currency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-626110</wp:posOffset>
            </wp:positionV>
            <wp:extent cx="7150735" cy="193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1930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-284480</wp:posOffset>
            </wp:positionV>
            <wp:extent cx="7150735" cy="193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19304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00" w:lineRule="exact"/>
        <w:rPr>
          <w:sz w:val="20"/>
          <w:szCs w:val="20"/>
          <w:color w:val="auto"/>
        </w:rPr>
      </w:pPr>
    </w:p>
    <w:p>
      <w:pPr>
        <w:jc w:val="both"/>
        <w:ind w:right="20" w:firstLine="561"/>
        <w:spacing w:after="0" w:line="292" w:lineRule="auto"/>
        <w:rPr>
          <w:sz w:val="20"/>
          <w:szCs w:val="20"/>
          <w:color w:val="auto"/>
        </w:rPr>
      </w:pPr>
      <w:r>
        <w:rPr>
          <w:rFonts w:ascii="Arial" w:cs="Arial" w:eastAsia="Arial" w:hAnsi="Arial"/>
          <w:sz w:val="14"/>
          <w:szCs w:val="14"/>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49" w:lineRule="exact"/>
        <w:rPr>
          <w:sz w:val="20"/>
          <w:szCs w:val="20"/>
          <w:color w:val="auto"/>
        </w:rPr>
      </w:pPr>
    </w:p>
    <w:p>
      <w:pPr>
        <w:jc w:val="both"/>
        <w:ind w:firstLine="561"/>
        <w:spacing w:after="0" w:line="297" w:lineRule="auto"/>
        <w:rPr>
          <w:sz w:val="20"/>
          <w:szCs w:val="20"/>
          <w:color w:val="auto"/>
        </w:rPr>
      </w:pPr>
      <w:r>
        <w:rPr>
          <w:rFonts w:ascii="Arial" w:cs="Arial" w:eastAsia="Arial" w:hAnsi="Arial"/>
          <w:sz w:val="14"/>
          <w:szCs w:val="14"/>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60"/>
          </w:cols>
          <w:pgMar w:left="320" w:top="501" w:right="319" w:bottom="1440" w:gutter="0" w:footer="0" w:header="0"/>
        </w:sectPr>
      </w:pPr>
    </w:p>
    <w:bookmarkStart w:id="41" w:name="page42"/>
    <w:bookmarkEnd w:id="41"/>
    <w:p>
      <w:pPr>
        <w:spacing w:after="0"/>
        <w:rPr>
          <w:sz w:val="20"/>
          <w:szCs w:val="20"/>
          <w:color w:val="auto"/>
        </w:rPr>
      </w:pPr>
      <w:r>
        <w:rPr>
          <w:rFonts w:ascii="Arial" w:cs="Arial" w:eastAsia="Arial" w:hAnsi="Arial"/>
          <w:sz w:val="16"/>
          <w:szCs w:val="16"/>
          <w:i w:val="1"/>
          <w:iCs w:val="1"/>
          <w:color w:val="auto"/>
        </w:rPr>
        <w:t>Revenue Recognition</w:t>
      </w:r>
    </w:p>
    <w:p>
      <w:pPr>
        <w:spacing w:after="0" w:line="96" w:lineRule="exact"/>
        <w:rPr>
          <w:sz w:val="20"/>
          <w:szCs w:val="20"/>
          <w:color w:val="auto"/>
        </w:rPr>
      </w:pPr>
    </w:p>
    <w:p>
      <w:pPr>
        <w:ind w:right="20" w:firstLine="561"/>
        <w:spacing w:after="0" w:line="334" w:lineRule="auto"/>
        <w:rPr>
          <w:sz w:val="20"/>
          <w:szCs w:val="20"/>
          <w:color w:val="auto"/>
        </w:rPr>
      </w:pPr>
      <w:r>
        <w:rPr>
          <w:rFonts w:ascii="Arial" w:cs="Arial" w:eastAsia="Arial" w:hAnsi="Arial"/>
          <w:sz w:val="14"/>
          <w:szCs w:val="14"/>
          <w:color w:val="auto"/>
        </w:rPr>
        <w:t>The majority of our revenue is generated from monthly service revenues and related professional services from the sale of our services. Revenues are recognized when control of these services is transferred to our customers, in an amount that reflects the consideration we expect to be entitled to in exchange for those services.</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determine revenue recognition through the following steps:</w:t>
      </w:r>
    </w:p>
    <w:p>
      <w:pPr>
        <w:spacing w:after="0" w:line="96" w:lineRule="exact"/>
        <w:rPr>
          <w:sz w:val="20"/>
          <w:szCs w:val="20"/>
          <w:color w:val="auto"/>
        </w:rPr>
      </w:pPr>
    </w:p>
    <w:p>
      <w:pPr>
        <w:ind w:left="1160" w:hanging="174"/>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190"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Total revenue of $91.6 million and $71.0 million was recognized for the three months ended June 30, 2020 and 2019, respectively, and $169.7 million and $137.4 million during the six months ended June 30, 2020 and 2019, respectively.</w:t>
      </w:r>
    </w:p>
    <w:p>
      <w:pPr>
        <w:spacing w:after="0" w:line="251" w:lineRule="exact"/>
        <w:rPr>
          <w:sz w:val="20"/>
          <w:szCs w:val="20"/>
          <w:color w:val="auto"/>
        </w:rPr>
      </w:pPr>
    </w:p>
    <w:p>
      <w:pPr>
        <w:jc w:val="both"/>
        <w:ind w:firstLine="561"/>
        <w:spacing w:after="0" w:line="297" w:lineRule="auto"/>
        <w:rPr>
          <w:sz w:val="20"/>
          <w:szCs w:val="20"/>
          <w:color w:val="auto"/>
        </w:rPr>
      </w:pPr>
      <w:r>
        <w:rPr>
          <w:rFonts w:ascii="Arial" w:cs="Arial" w:eastAsia="Arial" w:hAnsi="Arial"/>
          <w:sz w:val="14"/>
          <w:szCs w:val="14"/>
          <w:color w:val="auto"/>
        </w:rPr>
        <w:t>Under Topic 606, the Company defers all incremental commission costs (contract acquisition costs) to obtain the contract. The contract acquisition costs, which are comprised of prepaid sales commissions, have balances at June 30, 2020 and December 31, 2019 of $36.1 million and $32.0 million, respectively. The Company amortizes these costs over the related period of benefit using the customers expected life that the Company determines to be three to five years, which is consistent with the transfer to the customer of the services to which the asset relates. The Company classifies contract acquisition costs as long-term unless they have an original amortization period of one year or less.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Hosted Services- Business Revenue</w:t>
      </w:r>
    </w:p>
    <w:p>
      <w:pPr>
        <w:spacing w:after="0" w:line="190" w:lineRule="exact"/>
        <w:rPr>
          <w:sz w:val="20"/>
          <w:szCs w:val="20"/>
          <w:color w:val="auto"/>
        </w:rPr>
      </w:pPr>
    </w:p>
    <w:p>
      <w:pPr>
        <w:jc w:val="both"/>
        <w:ind w:firstLine="561"/>
        <w:spacing w:after="0" w:line="284" w:lineRule="auto"/>
        <w:rPr>
          <w:sz w:val="20"/>
          <w:szCs w:val="20"/>
          <w:color w:val="auto"/>
        </w:rPr>
      </w:pPr>
      <w:r>
        <w:rPr>
          <w:rFonts w:ascii="Arial" w:cs="Arial" w:eastAsia="Arial" w:hAnsi="Arial"/>
          <w:sz w:val="14"/>
          <w:szCs w:val="14"/>
          <w:color w:val="auto"/>
        </w:rPr>
        <w:t>Hosted Services Business revenue is reported at the amount that reflects the ultimate consideration expected to be received and primarily consist of fees that provide customers access to LiveEngage,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in accordance with ASC-606, ‘‘Principal Agent Considerations,’’ we act as a principal in a transaction if we control the specified goods or services before they are transferred to the customer.</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Professional Services Revenues</w:t>
      </w:r>
    </w:p>
    <w:p>
      <w:pPr>
        <w:spacing w:after="0" w:line="190"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4"/>
          <w:szCs w:val="14"/>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60"/>
          </w:cols>
          <w:pgMar w:left="320" w:top="501"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i w:val="1"/>
          <w:iCs w:val="1"/>
          <w:color w:val="auto"/>
        </w:rPr>
        <w:t>Contracts with Multiple Performance Obligations</w:t>
      </w:r>
    </w:p>
    <w:p>
      <w:pPr>
        <w:spacing w:after="0" w:line="19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Hosted Services- Consumer Revenue</w:t>
      </w:r>
    </w:p>
    <w:p>
      <w:pPr>
        <w:spacing w:after="0" w:line="190" w:lineRule="exact"/>
        <w:rPr>
          <w:sz w:val="20"/>
          <w:szCs w:val="20"/>
          <w:color w:val="auto"/>
        </w:rPr>
      </w:pPr>
    </w:p>
    <w:p>
      <w:pPr>
        <w:jc w:val="both"/>
        <w:ind w:firstLine="561"/>
        <w:spacing w:after="0" w:line="292" w:lineRule="auto"/>
        <w:rPr>
          <w:sz w:val="20"/>
          <w:szCs w:val="20"/>
          <w:color w:val="auto"/>
        </w:rPr>
      </w:pPr>
      <w:r>
        <w:rPr>
          <w:rFonts w:ascii="Arial" w:cs="Arial" w:eastAsia="Arial" w:hAnsi="Arial"/>
          <w:sz w:val="14"/>
          <w:szCs w:val="14"/>
          <w:color w:val="auto"/>
        </w:rPr>
        <w:t>For revenue from our Consumer segment generated from online transactions between Experts and Users, revenue is recognized at an amount net of Expert fees in accordance with ASC 606, “Principal Agent Considerations,” due primarily to the fact that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w:t>
      </w:r>
    </w:p>
    <w:p>
      <w:pPr>
        <w:spacing w:after="0" w:line="12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74"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 Effective January 1, 2020, the Company changed its forfeiture rate estimate which resulted in an increase in stock compensation expense of $2.3 million as of June 30, 2020.</w:t>
      </w:r>
    </w:p>
    <w:p>
      <w:pPr>
        <w:spacing w:after="0" w:line="168"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For the three months ended June 30, 2020 and 2019, we accrued approximately $7.9 million and $2.9 million in cash awards respectively, and for the six months ended June 30, 2020 and 2019, the Company accrued approximately $11.6 million and $4.8 million in cash awards, respectively, to be settled in shares of our stock and recorded a corresponding expense, which is included as a component of stock-based compensation expense in the accompanying condensed consolidated financial statements for the three and six months ended June 30, 2020 and 2019, respectively.</w:t>
      </w:r>
    </w:p>
    <w:p>
      <w:pPr>
        <w:spacing w:after="0" w:line="74"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As of June 30, 2020 there was approximately $20.2 million of total unrecognized compensation cost related to nonvested share-based compensation, stock options, arrangements. That cost is expected to be recognized over a weighted average period of approximately 2.7 years. As of June 30, 2020, there was approximately $74.9 million of total unrecognized compensation cost related to nonvested restricted stock units. That cost is expected to be recognized over the remaining weighted average period of approximately 3.1 years.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w:t>
      </w:r>
    </w:p>
    <w:p>
      <w:pPr>
        <w:spacing w:after="0" w:line="96" w:lineRule="exact"/>
        <w:rPr>
          <w:sz w:val="20"/>
          <w:szCs w:val="20"/>
          <w:color w:val="auto"/>
        </w:rPr>
      </w:pPr>
    </w:p>
    <w:p>
      <w:pPr>
        <w:jc w:val="both"/>
        <w:ind w:firstLine="561"/>
        <w:spacing w:after="0" w:line="284" w:lineRule="auto"/>
        <w:rPr>
          <w:sz w:val="20"/>
          <w:szCs w:val="20"/>
          <w:color w:val="auto"/>
        </w:rPr>
      </w:pPr>
      <w:r>
        <w:rPr>
          <w:rFonts w:ascii="Arial" w:cs="Arial" w:eastAsia="Arial" w:hAnsi="Arial"/>
          <w:sz w:val="14"/>
          <w:szCs w:val="14"/>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in the three months ended June 30, 2020 and in the comparable period of 2019. No single customer accounted for or exceeded 10% of our total accounts receivable as of June 30, 2020. Two customers exceeded 10% of our total accounts receivable as of December 31, 2019. During the six months ended June 30, 2020, we increased our allowance for doubtful accounts from $3.1 million as of December 31, 2019 to approximately $4.4 million. A large proportion of receivables are due from larger corporate customers that typically have longer payment cycles. Accounts receivable is presented net of an allowance for doubtful accounts and sales reserve of $4.4 million and $2.9 million at June 30, 2020, respectively, and $3.1 million and $1.1 million at December 31, 2019, respectively.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60"/>
          </w:cols>
          <w:pgMar w:left="320" w:top="501" w:right="319" w:bottom="1440" w:gutter="0" w:footer="0" w:header="0"/>
        </w:sectPr>
      </w:pPr>
    </w:p>
    <w:bookmarkStart w:id="43" w:name="page44"/>
    <w:bookmarkEnd w:id="43"/>
    <w:p>
      <w:pPr>
        <w:jc w:val="both"/>
        <w:ind w:right="20" w:firstLine="561"/>
        <w:spacing w:after="0" w:line="289" w:lineRule="auto"/>
        <w:rPr>
          <w:sz w:val="20"/>
          <w:szCs w:val="20"/>
          <w:color w:val="auto"/>
        </w:rPr>
      </w:pPr>
      <w:r>
        <w:rPr>
          <w:rFonts w:ascii="Arial" w:cs="Arial" w:eastAsia="Arial" w:hAnsi="Arial"/>
          <w:sz w:val="14"/>
          <w:szCs w:val="14"/>
          <w:color w:val="auto"/>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customers or industry. Accounts receivable are written off against the allowance for uncollectible accounts when we determine amounts are no longer collectible.</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96" w:lineRule="exact"/>
        <w:rPr>
          <w:sz w:val="20"/>
          <w:szCs w:val="20"/>
          <w:color w:val="auto"/>
        </w:rPr>
      </w:pPr>
    </w:p>
    <w:p>
      <w:pPr>
        <w:jc w:val="both"/>
        <w:ind w:firstLine="234"/>
        <w:spacing w:after="0" w:line="297" w:lineRule="auto"/>
        <w:rPr>
          <w:sz w:val="20"/>
          <w:szCs w:val="20"/>
          <w:color w:val="auto"/>
        </w:rPr>
      </w:pPr>
      <w:r>
        <w:rPr>
          <w:rFonts w:ascii="Arial" w:cs="Arial" w:eastAsia="Arial" w:hAnsi="Arial"/>
          <w:sz w:val="14"/>
          <w:szCs w:val="14"/>
          <w:color w:val="auto"/>
        </w:rPr>
        <w:t>We account for goodwill and intangible assets in accordance with ASC 350, “Intangibles - Goodwill and Other.” A purchase price paid that is in excess of net assets arising from a business combination is recorded as an asset (‘‘goodwill’’) and is not amortized. Intangible assets with an indefinite useful life are not amortized. Goodwill and intangible assets are tested for impairment on an annual basis or more frequently if changes in circumstances indicate that the carrying amount may not be recoverable. If the goodwill or intangible asset is impaired, it is written down to its realizable value with a corresponding expense reflected in the consolidated statements of income.</w:t>
      </w:r>
    </w:p>
    <w:p>
      <w:pPr>
        <w:spacing w:after="0" w:line="44" w:lineRule="exact"/>
        <w:rPr>
          <w:sz w:val="20"/>
          <w:szCs w:val="20"/>
          <w:color w:val="auto"/>
        </w:rPr>
      </w:pPr>
    </w:p>
    <w:p>
      <w:pPr>
        <w:jc w:val="both"/>
        <w:ind w:firstLine="234"/>
        <w:spacing w:after="0" w:line="292" w:lineRule="auto"/>
        <w:rPr>
          <w:sz w:val="20"/>
          <w:szCs w:val="20"/>
          <w:color w:val="auto"/>
        </w:rPr>
      </w:pPr>
      <w:r>
        <w:rPr>
          <w:rFonts w:ascii="Arial" w:cs="Arial" w:eastAsia="Arial" w:hAnsi="Arial"/>
          <w:sz w:val="14"/>
          <w:szCs w:val="14"/>
          <w:color w:val="auto"/>
        </w:rPr>
        <w:t>Intangible assets that have finite lives, including but not limited to, agent and customer relationships and trademarks, are amortized over the estimated useful life of the asset. For intangible assets with finite lives, impairment is recognized if the carrying amount is not recoverable and exceeds the fair value of the intangible asset. Generally intangible assets with finite lives are only tested for impairment if there are indicators of impairment (“triggers”) identified. Triggers include, but are not limited to, a significant adverse change in the extent, manner or length of time in which the intangible asset is being used or a significant adverse change in legal factors or in the business climate that could affect the value of the other intangible asset. As of June 30, 2020 there were no trigger events.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Long-Lived Assets</w:t>
      </w:r>
    </w:p>
    <w:p>
      <w:pPr>
        <w:spacing w:after="0" w:line="96" w:lineRule="exact"/>
        <w:rPr>
          <w:sz w:val="20"/>
          <w:szCs w:val="20"/>
          <w:color w:val="auto"/>
        </w:rPr>
      </w:pPr>
    </w:p>
    <w:p>
      <w:pPr>
        <w:jc w:val="both"/>
        <w:ind w:firstLine="234"/>
        <w:spacing w:after="0" w:line="247" w:lineRule="auto"/>
        <w:rPr>
          <w:sz w:val="20"/>
          <w:szCs w:val="20"/>
          <w:color w:val="auto"/>
        </w:rPr>
      </w:pPr>
      <w:r>
        <w:rPr>
          <w:rFonts w:ascii="Arial" w:cs="Arial" w:eastAsia="Arial" w:hAnsi="Arial"/>
          <w:sz w:val="16"/>
          <w:szCs w:val="16"/>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31" w:lineRule="exact"/>
        <w:rPr>
          <w:sz w:val="20"/>
          <w:szCs w:val="20"/>
          <w:color w:val="auto"/>
        </w:rPr>
      </w:pPr>
    </w:p>
    <w:p>
      <w:pPr>
        <w:jc w:val="both"/>
        <w:ind w:firstLine="561"/>
        <w:spacing w:after="0" w:line="284" w:lineRule="auto"/>
        <w:rPr>
          <w:sz w:val="20"/>
          <w:szCs w:val="20"/>
          <w:color w:val="auto"/>
        </w:rPr>
      </w:pPr>
      <w:r>
        <w:rPr>
          <w:rFonts w:ascii="Arial" w:cs="Arial" w:eastAsia="Arial" w:hAnsi="Arial"/>
          <w:sz w:val="14"/>
          <w:szCs w:val="14"/>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Valuation allowances are established, when necessary, to reduce deferred tax assets to the amount expected to be realized.</w:t>
      </w:r>
    </w:p>
    <w:p>
      <w:pPr>
        <w:spacing w:after="0" w:line="57" w:lineRule="exact"/>
        <w:rPr>
          <w:sz w:val="20"/>
          <w:szCs w:val="20"/>
          <w:color w:val="auto"/>
        </w:rPr>
      </w:pPr>
    </w:p>
    <w:p>
      <w:pPr>
        <w:jc w:val="both"/>
        <w:ind w:firstLine="561"/>
        <w:spacing w:after="0" w:line="297" w:lineRule="auto"/>
        <w:rPr>
          <w:sz w:val="20"/>
          <w:szCs w:val="20"/>
          <w:color w:val="auto"/>
        </w:rPr>
      </w:pPr>
      <w:r>
        <w:rPr>
          <w:rFonts w:ascii="Arial" w:cs="Arial" w:eastAsia="Arial" w:hAnsi="Arial"/>
          <w:sz w:val="14"/>
          <w:szCs w:val="14"/>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Under the CARES Act, the Company is able to recognize the benefit of the tax year 2018 loss by carrying back the loss to prior periods. There was no tax benefit recognized for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60"/>
          </w:cols>
          <w:pgMar w:left="320" w:top="501" w:right="319" w:bottom="1440" w:gutter="0" w:footer="0" w:header="0"/>
        </w:sectPr>
      </w:pPr>
    </w:p>
    <w:bookmarkStart w:id="44" w:name="page45"/>
    <w:bookmarkEnd w:id="44"/>
    <w:p>
      <w:pPr>
        <w:ind w:right="580"/>
        <w:spacing w:after="0" w:line="419" w:lineRule="auto"/>
        <w:rPr>
          <w:sz w:val="20"/>
          <w:szCs w:val="20"/>
          <w:color w:val="auto"/>
        </w:rPr>
      </w:pPr>
      <w:r>
        <w:rPr>
          <w:rFonts w:ascii="Arial" w:cs="Arial" w:eastAsia="Arial" w:hAnsi="Arial"/>
          <w:sz w:val="16"/>
          <w:szCs w:val="16"/>
          <w:color w:val="auto"/>
        </w:rPr>
        <w:t xml:space="preserve">the three months ended June 30, 2020. The total tax benefit recognized as a result of the CARES Act for the six months ended June 30, 2020 is approximately $0.6 million. </w:t>
      </w:r>
      <w:r>
        <w:rPr>
          <w:rFonts w:ascii="Arial" w:cs="Arial" w:eastAsia="Arial" w:hAnsi="Arial"/>
          <w:sz w:val="16"/>
          <w:szCs w:val="16"/>
          <w:i w:val="1"/>
          <w:iCs w:val="1"/>
          <w:color w:val="auto"/>
        </w:rPr>
        <w:t>Legal Contingencies</w:t>
      </w:r>
    </w:p>
    <w:p>
      <w:pPr>
        <w:jc w:val="both"/>
        <w:ind w:firstLine="561"/>
        <w:spacing w:after="0" w:line="288" w:lineRule="auto"/>
        <w:rPr>
          <w:sz w:val="20"/>
          <w:szCs w:val="20"/>
          <w:color w:val="auto"/>
        </w:rPr>
      </w:pPr>
      <w:r>
        <w:rPr>
          <w:rFonts w:ascii="Arial" w:cs="Arial" w:eastAsia="Arial" w:hAnsi="Arial"/>
          <w:sz w:val="14"/>
          <w:szCs w:val="14"/>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14, Legal Matters, of the Notes to the Condensed Consolidated Financial Statements under Item 8 of this Quarterly Report on Form 10-Q for additional information on our legal proceedings and litigation.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Issued Accounting Standards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Note 1 to Condensed Consolidated Financial Statements for a full description of recently issued accounting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Note 1 to Condensed Consolidated Financial Statements for a full description of recently adopted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96" w:lineRule="exact"/>
        <w:rPr>
          <w:sz w:val="20"/>
          <w:szCs w:val="20"/>
          <w:color w:val="auto"/>
        </w:rPr>
      </w:pPr>
    </w:p>
    <w:p>
      <w:pPr>
        <w:jc w:val="both"/>
        <w:ind w:right="20" w:firstLine="561"/>
        <w:spacing w:after="0" w:line="292" w:lineRule="auto"/>
        <w:rPr>
          <w:sz w:val="20"/>
          <w:szCs w:val="20"/>
          <w:color w:val="auto"/>
        </w:rPr>
      </w:pPr>
      <w:r>
        <w:rPr>
          <w:rFonts w:ascii="Arial" w:cs="Arial" w:eastAsia="Arial" w:hAnsi="Arial"/>
          <w:sz w:val="14"/>
          <w:szCs w:val="14"/>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determine revenue recognition through the following steps:</w:t>
      </w:r>
    </w:p>
    <w:p>
      <w:pPr>
        <w:spacing w:after="0" w:line="96" w:lineRule="exact"/>
        <w:rPr>
          <w:sz w:val="20"/>
          <w:szCs w:val="20"/>
          <w:color w:val="auto"/>
        </w:rPr>
      </w:pPr>
    </w:p>
    <w:p>
      <w:pPr>
        <w:ind w:left="1160" w:hanging="174"/>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49" w:lineRule="exact"/>
        <w:rPr>
          <w:rFonts w:ascii="Arial" w:cs="Arial" w:eastAsia="Arial" w:hAnsi="Arial"/>
          <w:sz w:val="16"/>
          <w:szCs w:val="16"/>
          <w:color w:val="auto"/>
        </w:rPr>
      </w:pPr>
    </w:p>
    <w:p>
      <w:pPr>
        <w:ind w:left="1160" w:hanging="174"/>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Hosted Services- Business Revenue</w:t>
      </w:r>
    </w:p>
    <w:p>
      <w:pPr>
        <w:spacing w:after="0" w:line="190"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auto"/>
        </w:rPr>
        <w:t>Revenue attributable to our monthly hosted Business services accounted for 79% and 76% of total revenue for the three months ended June 30, 2020 and 2019, respectively, and 79% and 77% of total revenue for the six months ended June 30, 2020 and 2019,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Professional Services Revenue</w:t>
      </w:r>
    </w:p>
    <w:p>
      <w:pPr>
        <w:spacing w:after="0" w:line="190"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auto"/>
        </w:rPr>
        <w:t>Revenue attributable to professional services accounted for 13% and 16% of total revenue for the three months ended June 30, 2020 and 2019, respectively, and 13% and 15% of total revenue for the six months ended June 30, 2020 and 2019,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Multiple Performance Obligations</w:t>
      </w:r>
    </w:p>
    <w:p>
      <w:pPr>
        <w:spacing w:after="0" w:line="19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60"/>
          </w:cols>
          <w:pgMar w:left="320" w:top="501" w:right="319" w:bottom="1440" w:gutter="0" w:footer="0" w:header="0"/>
        </w:sectPr>
      </w:pPr>
    </w:p>
    <w:bookmarkStart w:id="45" w:name="page46"/>
    <w:bookmarkEnd w:id="45"/>
    <w:p>
      <w:pPr>
        <w:spacing w:after="0"/>
        <w:rPr>
          <w:sz w:val="20"/>
          <w:szCs w:val="20"/>
          <w:color w:val="auto"/>
        </w:rPr>
      </w:pPr>
      <w:r>
        <w:rPr>
          <w:rFonts w:ascii="Arial" w:cs="Arial" w:eastAsia="Arial" w:hAnsi="Arial"/>
          <w:sz w:val="16"/>
          <w:szCs w:val="16"/>
          <w:i w:val="1"/>
          <w:iCs w:val="1"/>
          <w:color w:val="auto"/>
        </w:rPr>
        <w:t>Hosted Services- Consumer Revenue</w:t>
      </w:r>
    </w:p>
    <w:p>
      <w:pPr>
        <w:spacing w:after="0" w:line="190"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Revenue from our Consumer segment accounted for approximately 8% and 9% of total revenue for the three months ended June 30, 2020 and June 30, 2019, respectively, and 8% of total revenue for each of the six months ended June 30, 2020 and 2019.</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Revenues</w:t>
      </w:r>
    </w:p>
    <w:p>
      <w:pPr>
        <w:spacing w:after="0" w:line="190"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We record deferred revenues when cash payments are received or due in advance of our performance. The increase of $6.0 million in deferred revenue balance for the quarter ended June 30, 2020 from the deferred revenue balance of $89.2 million for the year ended December 31, 2019 is primarily driven by cash payments received or due in advance of satisfying our performance obligations, partially offset by $60.5 million revenues recognized that were included in the deferred revenue balance as of December 31, 2019.</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Costs and Expenses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cost of revenue consists of:</w:t>
      </w:r>
    </w:p>
    <w:p>
      <w:pPr>
        <w:spacing w:after="0" w:line="96" w:lineRule="exact"/>
        <w:rPr>
          <w:sz w:val="20"/>
          <w:szCs w:val="20"/>
          <w:color w:val="auto"/>
        </w:rPr>
      </w:pPr>
    </w:p>
    <w:p>
      <w:pPr>
        <w:ind w:left="1040" w:hanging="276"/>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compensation costs relating to employees who provide customer support and implementation services to our customers;</w:t>
      </w:r>
    </w:p>
    <w:p>
      <w:pPr>
        <w:spacing w:after="0" w:line="96" w:lineRule="exact"/>
        <w:rPr>
          <w:rFonts w:ascii="Arial" w:cs="Arial" w:eastAsia="Arial" w:hAnsi="Arial"/>
          <w:sz w:val="16"/>
          <w:szCs w:val="16"/>
          <w:color w:val="auto"/>
        </w:rPr>
      </w:pPr>
    </w:p>
    <w:p>
      <w:pPr>
        <w:ind w:left="1040" w:hanging="276"/>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outside labor provider costs;</w:t>
      </w:r>
    </w:p>
    <w:p>
      <w:pPr>
        <w:spacing w:after="0" w:line="96" w:lineRule="exact"/>
        <w:rPr>
          <w:rFonts w:ascii="Arial" w:cs="Arial" w:eastAsia="Arial" w:hAnsi="Arial"/>
          <w:sz w:val="16"/>
          <w:szCs w:val="16"/>
          <w:color w:val="auto"/>
        </w:rPr>
      </w:pPr>
    </w:p>
    <w:p>
      <w:pPr>
        <w:ind w:left="1040" w:hanging="276"/>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compensation costs relating to our network support staff;</w:t>
      </w:r>
    </w:p>
    <w:p>
      <w:pPr>
        <w:spacing w:after="0" w:line="96" w:lineRule="exact"/>
        <w:rPr>
          <w:rFonts w:ascii="Arial" w:cs="Arial" w:eastAsia="Arial" w:hAnsi="Arial"/>
          <w:sz w:val="16"/>
          <w:szCs w:val="16"/>
          <w:color w:val="auto"/>
        </w:rPr>
      </w:pPr>
    </w:p>
    <w:p>
      <w:pPr>
        <w:ind w:left="1040" w:hanging="276"/>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depreciation of certain hardware and software;</w:t>
      </w:r>
    </w:p>
    <w:p>
      <w:pPr>
        <w:spacing w:after="0" w:line="96" w:lineRule="exact"/>
        <w:rPr>
          <w:rFonts w:ascii="Arial" w:cs="Arial" w:eastAsia="Arial" w:hAnsi="Arial"/>
          <w:sz w:val="16"/>
          <w:szCs w:val="16"/>
          <w:color w:val="auto"/>
        </w:rPr>
      </w:pPr>
    </w:p>
    <w:p>
      <w:pPr>
        <w:ind w:left="1040" w:hanging="276"/>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allocated occupancy costs and related overhead;</w:t>
      </w:r>
    </w:p>
    <w:p>
      <w:pPr>
        <w:spacing w:after="0" w:line="96" w:lineRule="exact"/>
        <w:rPr>
          <w:rFonts w:ascii="Arial" w:cs="Arial" w:eastAsia="Arial" w:hAnsi="Arial"/>
          <w:sz w:val="16"/>
          <w:szCs w:val="16"/>
          <w:color w:val="auto"/>
        </w:rPr>
      </w:pPr>
    </w:p>
    <w:p>
      <w:pPr>
        <w:ind w:left="1040" w:hanging="276"/>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96" w:lineRule="exact"/>
        <w:rPr>
          <w:rFonts w:ascii="Arial" w:cs="Arial" w:eastAsia="Arial" w:hAnsi="Arial"/>
          <w:sz w:val="16"/>
          <w:szCs w:val="16"/>
          <w:color w:val="auto"/>
        </w:rPr>
      </w:pPr>
    </w:p>
    <w:p>
      <w:pPr>
        <w:ind w:left="1040" w:hanging="276"/>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credit card fees and related payment processing costs associated with consumer and self-service customers; and</w:t>
      </w:r>
    </w:p>
    <w:p>
      <w:pPr>
        <w:spacing w:after="0" w:line="96" w:lineRule="exact"/>
        <w:rPr>
          <w:rFonts w:ascii="Arial" w:cs="Arial" w:eastAsia="Arial" w:hAnsi="Arial"/>
          <w:sz w:val="16"/>
          <w:szCs w:val="16"/>
          <w:color w:val="auto"/>
        </w:rPr>
      </w:pPr>
    </w:p>
    <w:p>
      <w:pPr>
        <w:ind w:left="1040" w:hanging="276"/>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amortization of certain intangibles.</w:t>
      </w:r>
    </w:p>
    <w:p>
      <w:pPr>
        <w:spacing w:after="0" w:line="96" w:lineRule="exact"/>
        <w:rPr>
          <w:sz w:val="20"/>
          <w:szCs w:val="20"/>
          <w:color w:val="auto"/>
        </w:rPr>
      </w:pPr>
    </w:p>
    <w:p>
      <w:pPr>
        <w:ind w:left="40" w:firstLine="561"/>
        <w:spacing w:after="0" w:line="334" w:lineRule="auto"/>
        <w:rPr>
          <w:sz w:val="20"/>
          <w:szCs w:val="20"/>
          <w:color w:val="auto"/>
        </w:rPr>
      </w:pPr>
      <w:r>
        <w:rPr>
          <w:rFonts w:ascii="Arial" w:cs="Arial" w:eastAsia="Arial" w:hAnsi="Arial"/>
          <w:sz w:val="14"/>
          <w:szCs w:val="14"/>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19" w:lineRule="exact"/>
        <w:rPr>
          <w:sz w:val="20"/>
          <w:szCs w:val="20"/>
          <w:color w:val="auto"/>
        </w:rPr>
      </w:pPr>
    </w:p>
    <w:p>
      <w:pPr>
        <w:ind w:firstLine="561"/>
        <w:spacing w:after="0" w:line="334" w:lineRule="auto"/>
        <w:rPr>
          <w:sz w:val="20"/>
          <w:szCs w:val="20"/>
          <w:color w:val="auto"/>
        </w:rPr>
      </w:pPr>
      <w:r>
        <w:rPr>
          <w:rFonts w:ascii="Arial" w:cs="Arial" w:eastAsia="Arial" w:hAnsi="Arial"/>
          <w:sz w:val="14"/>
          <w:szCs w:val="14"/>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19" w:lineRule="exact"/>
        <w:rPr>
          <w:sz w:val="20"/>
          <w:szCs w:val="20"/>
          <w:color w:val="auto"/>
        </w:rPr>
      </w:pPr>
    </w:p>
    <w:p>
      <w:pPr>
        <w:ind w:right="20" w:firstLine="561"/>
        <w:spacing w:after="0" w:line="334" w:lineRule="auto"/>
        <w:rPr>
          <w:sz w:val="20"/>
          <w:szCs w:val="20"/>
          <w:color w:val="auto"/>
        </w:rPr>
      </w:pPr>
      <w:r>
        <w:rPr>
          <w:rFonts w:ascii="Arial" w:cs="Arial" w:eastAsia="Arial" w:hAnsi="Arial"/>
          <w:sz w:val="14"/>
          <w:szCs w:val="14"/>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Compensation Expense</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net non-cash compensation amounts are as follows:</w:t>
      </w:r>
    </w:p>
    <w:p>
      <w:pPr>
        <w:sectPr>
          <w:pgSz w:w="11900" w:h="16838" w:orient="portrait"/>
          <w:cols w:equalWidth="0" w:num="1">
            <w:col w:w="11260"/>
          </w:cols>
          <w:pgMar w:left="320" w:top="501" w:right="319" w:bottom="1440" w:gutter="0" w:footer="0" w:header="0"/>
        </w:sectPr>
      </w:pPr>
    </w:p>
    <w:p>
      <w:pPr>
        <w:spacing w:after="0" w:line="288" w:lineRule="exact"/>
        <w:rPr>
          <w:sz w:val="20"/>
          <w:szCs w:val="20"/>
          <w:color w:val="auto"/>
        </w:rPr>
      </w:pPr>
    </w:p>
    <w:p>
      <w:pPr>
        <w:ind w:left="6380"/>
        <w:spacing w:after="0"/>
        <w:rPr>
          <w:sz w:val="20"/>
          <w:szCs w:val="20"/>
          <w:color w:val="auto"/>
        </w:rPr>
      </w:pPr>
      <w:r>
        <w:rPr>
          <w:rFonts w:ascii="Arial" w:cs="Arial" w:eastAsia="Arial" w:hAnsi="Arial"/>
          <w:sz w:val="11"/>
          <w:szCs w:val="11"/>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28575</wp:posOffset>
            </wp:positionV>
            <wp:extent cx="16617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1795" cy="7620"/>
                    </a:xfrm>
                    <a:prstGeom prst="rect">
                      <a:avLst/>
                    </a:prstGeom>
                    <a:noFill/>
                  </pic:spPr>
                </pic:pic>
              </a:graphicData>
            </a:graphic>
          </wp:anchor>
        </w:drawing>
      </w:r>
    </w:p>
    <w:p>
      <w:pPr>
        <w:spacing w:after="0" w:line="99" w:lineRule="exact"/>
        <w:rPr>
          <w:sz w:val="20"/>
          <w:szCs w:val="20"/>
          <w:color w:val="auto"/>
        </w:rPr>
      </w:pPr>
    </w:p>
    <w:p>
      <w:pPr>
        <w:ind w:left="6360"/>
        <w:spacing w:after="0"/>
        <w:tabs>
          <w:tab w:leader="none" w:pos="7700" w:val="left"/>
        </w:tabs>
        <w:rPr>
          <w:sz w:val="20"/>
          <w:szCs w:val="20"/>
          <w:color w:val="auto"/>
        </w:rPr>
      </w:pPr>
      <w:r>
        <w:rPr>
          <w:rFonts w:ascii="Arial" w:cs="Arial" w:eastAsia="Arial" w:hAnsi="Arial"/>
          <w:sz w:val="11"/>
          <w:szCs w:val="11"/>
          <w:b w:val="1"/>
          <w:bCs w:val="1"/>
          <w:color w:val="auto"/>
        </w:rPr>
        <w:t>2020</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28575</wp:posOffset>
            </wp:positionV>
            <wp:extent cx="16617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1795" cy="7620"/>
                    </a:xfrm>
                    <a:prstGeom prst="rect">
                      <a:avLst/>
                    </a:prstGeom>
                    <a:noFill/>
                  </pic:spPr>
                </pic:pic>
              </a:graphicData>
            </a:graphic>
          </wp:anchor>
        </w:drawing>
      </w:r>
    </w:p>
    <w:p>
      <w:pPr>
        <w:spacing w:after="0" w:line="87" w:lineRule="exact"/>
        <w:rPr>
          <w:sz w:val="20"/>
          <w:szCs w:val="20"/>
          <w:color w:val="auto"/>
        </w:rPr>
      </w:pPr>
    </w:p>
    <w:p>
      <w:pPr>
        <w:ind w:left="6800"/>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50735" cy="155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155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28575</wp:posOffset>
            </wp:positionV>
            <wp:extent cx="16173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7345" cy="7620"/>
                    </a:xfrm>
                    <a:prstGeom prst="rect">
                      <a:avLst/>
                    </a:prstGeom>
                    <a:noFill/>
                  </pic:spPr>
                </pic:pic>
              </a:graphicData>
            </a:graphic>
          </wp:anchor>
        </w:drawing>
      </w:r>
    </w:p>
    <w:p>
      <w:pPr>
        <w:spacing w:after="0" w:line="99" w:lineRule="exact"/>
        <w:rPr>
          <w:sz w:val="20"/>
          <w:szCs w:val="20"/>
          <w:color w:val="auto"/>
        </w:rPr>
      </w:pPr>
    </w:p>
    <w:p>
      <w:pPr>
        <w:spacing w:after="0"/>
        <w:tabs>
          <w:tab w:leader="none" w:pos="1300" w:val="left"/>
        </w:tabs>
        <w:rPr>
          <w:sz w:val="20"/>
          <w:szCs w:val="20"/>
          <w:color w:val="auto"/>
        </w:rPr>
      </w:pPr>
      <w:r>
        <w:rPr>
          <w:rFonts w:ascii="Arial" w:cs="Arial" w:eastAsia="Arial" w:hAnsi="Arial"/>
          <w:sz w:val="11"/>
          <w:szCs w:val="11"/>
          <w:b w:val="1"/>
          <w:bCs w:val="1"/>
          <w:color w:val="auto"/>
        </w:rPr>
        <w:t>2020</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28575</wp:posOffset>
            </wp:positionV>
            <wp:extent cx="16173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7345" cy="7620"/>
                    </a:xfrm>
                    <a:prstGeom prst="rect">
                      <a:avLst/>
                    </a:prstGeom>
                    <a:noFill/>
                  </pic:spPr>
                </pic:pic>
              </a:graphicData>
            </a:graphic>
          </wp:anchor>
        </w:drawing>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 thousands)</w:t>
      </w:r>
    </w:p>
    <w:p>
      <w:pPr>
        <w:spacing w:after="0" w:line="72" w:lineRule="exact"/>
        <w:rPr>
          <w:sz w:val="20"/>
          <w:szCs w:val="20"/>
          <w:color w:val="auto"/>
        </w:rPr>
      </w:pPr>
    </w:p>
    <w:p>
      <w:pPr>
        <w:sectPr>
          <w:pgSz w:w="11900" w:h="16838" w:orient="portrait"/>
          <w:cols w:equalWidth="0" w:num="2">
            <w:col w:w="8480" w:space="720"/>
            <w:col w:w="2060"/>
          </w:cols>
          <w:pgMar w:left="320" w:top="501" w:right="319" w:bottom="1440" w:gutter="0" w:footer="0" w:header="0"/>
          <w:type w:val="continuous"/>
        </w:sectPr>
      </w:pPr>
    </w:p>
    <w:p>
      <w:pPr>
        <w:ind w:left="20"/>
        <w:spacing w:after="0"/>
        <w:tabs>
          <w:tab w:leader="none" w:pos="5860" w:val="left"/>
          <w:tab w:leader="none" w:pos="6580" w:val="left"/>
          <w:tab w:leader="none" w:pos="7220" w:val="left"/>
          <w:tab w:leader="none" w:pos="8020" w:val="left"/>
          <w:tab w:leader="none" w:pos="8720" w:val="left"/>
          <w:tab w:leader="none" w:pos="9420" w:val="left"/>
          <w:tab w:leader="none" w:pos="10040" w:val="left"/>
          <w:tab w:leader="none" w:pos="10740" w:val="left"/>
        </w:tabs>
        <w:rPr>
          <w:sz w:val="20"/>
          <w:szCs w:val="20"/>
          <w:color w:val="auto"/>
        </w:rPr>
      </w:pPr>
      <w:r>
        <w:rPr>
          <w:rFonts w:ascii="Arial" w:cs="Arial" w:eastAsia="Arial" w:hAnsi="Arial"/>
          <w:sz w:val="14"/>
          <w:szCs w:val="14"/>
          <w:color w:val="auto"/>
        </w:rPr>
        <w:t>Stock-based compensation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15,945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9,305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30,642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16,471</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60"/>
          </w:cols>
          <w:pgMar w:left="320" w:top="501" w:right="31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00" w:lineRule="exact"/>
        <w:rPr>
          <w:sz w:val="20"/>
          <w:szCs w:val="20"/>
          <w:color w:val="auto"/>
        </w:rPr>
      </w:pPr>
    </w:p>
    <w:p>
      <w:pPr>
        <w:jc w:val="both"/>
        <w:ind w:firstLine="561"/>
        <w:spacing w:after="0" w:line="306" w:lineRule="auto"/>
        <w:rPr>
          <w:sz w:val="20"/>
          <w:szCs w:val="20"/>
          <w:color w:val="auto"/>
        </w:rPr>
      </w:pPr>
      <w:r>
        <w:rPr>
          <w:rFonts w:ascii="Arial" w:cs="Arial" w:eastAsia="Arial" w:hAnsi="Arial"/>
          <w:sz w:val="14"/>
          <w:szCs w:val="14"/>
          <w:color w:val="auto"/>
        </w:rPr>
        <w:t>We are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132"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 of the Three and Six Months Ended June 30, 2020 and 2019</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Revenue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653"/>
              <w:spacing w:after="0"/>
              <w:rPr>
                <w:sz w:val="20"/>
                <w:szCs w:val="20"/>
                <w:color w:val="auto"/>
              </w:rPr>
            </w:pPr>
            <w:r>
              <w:rPr>
                <w:rFonts w:ascii="Arial" w:cs="Arial" w:eastAsia="Arial" w:hAnsi="Arial"/>
                <w:sz w:val="12"/>
                <w:szCs w:val="12"/>
                <w:b w:val="1"/>
                <w:bCs w:val="1"/>
                <w:color w:val="auto"/>
              </w:rPr>
              <w:t>Three Months Ended June 30,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2"/>
                <w:szCs w:val="12"/>
                <w:b w:val="1"/>
                <w:bCs w:val="1"/>
                <w:color w:val="auto"/>
                <w:w w:val="92"/>
              </w:rPr>
              <w:t>Six Months Ended June 30,</w:t>
            </w:r>
          </w:p>
        </w:tc>
      </w:tr>
      <w:tr>
        <w:trPr>
          <w:trHeight w:val="225"/>
        </w:trPr>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74"/>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ind w:right="252"/>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 Change</w:t>
            </w:r>
          </w:p>
        </w:tc>
        <w:tc>
          <w:tcPr>
            <w:tcW w:w="200" w:type="dxa"/>
            <w:vAlign w:val="bottom"/>
          </w:tcPr>
          <w:p>
            <w:pPr>
              <w:spacing w:after="0"/>
              <w:rPr>
                <w:sz w:val="19"/>
                <w:szCs w:val="19"/>
                <w:color w:val="auto"/>
              </w:rPr>
            </w:pPr>
          </w:p>
        </w:tc>
        <w:tc>
          <w:tcPr>
            <w:tcW w:w="580" w:type="dxa"/>
            <w:vAlign w:val="bottom"/>
          </w:tcPr>
          <w:p>
            <w:pPr>
              <w:jc w:val="right"/>
              <w:ind w:right="153"/>
              <w:spacing w:after="0"/>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9"/>
                <w:szCs w:val="19"/>
                <w:color w:val="auto"/>
              </w:rPr>
            </w:pPr>
          </w:p>
        </w:tc>
        <w:tc>
          <w:tcPr>
            <w:tcW w:w="660" w:type="dxa"/>
            <w:vAlign w:val="bottom"/>
          </w:tcPr>
          <w:p>
            <w:pPr>
              <w:jc w:val="right"/>
              <w:ind w:right="23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9"/>
                <w:szCs w:val="19"/>
                <w:color w:val="auto"/>
              </w:rPr>
            </w:pPr>
          </w:p>
        </w:tc>
        <w:tc>
          <w:tcPr>
            <w:tcW w:w="1040" w:type="dxa"/>
            <w:vAlign w:val="bottom"/>
          </w:tcPr>
          <w:p>
            <w:pPr>
              <w:jc w:val="right"/>
              <w:ind w:right="173"/>
              <w:spacing w:after="0"/>
              <w:rPr>
                <w:sz w:val="20"/>
                <w:szCs w:val="20"/>
                <w:color w:val="auto"/>
              </w:rPr>
            </w:pPr>
            <w:r>
              <w:rPr>
                <w:rFonts w:ascii="Arial" w:cs="Arial" w:eastAsia="Arial" w:hAnsi="Arial"/>
                <w:sz w:val="12"/>
                <w:szCs w:val="12"/>
                <w:b w:val="1"/>
                <w:bCs w:val="1"/>
                <w:color w:val="auto"/>
              </w:rPr>
              <w:t>% Change</w:t>
            </w:r>
          </w:p>
        </w:tc>
      </w:tr>
      <w:tr>
        <w:trPr>
          <w:trHeight w:val="222"/>
        </w:trPr>
        <w:tc>
          <w:tcPr>
            <w:tcW w:w="5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(in thousands)</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(in thousands)</w:t>
            </w: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06"/>
        </w:trPr>
        <w:tc>
          <w:tcPr>
            <w:tcW w:w="5060" w:type="dxa"/>
            <w:vAlign w:val="bottom"/>
          </w:tcPr>
          <w:p>
            <w:pPr>
              <w:ind w:left="20"/>
              <w:spacing w:after="0"/>
              <w:rPr>
                <w:sz w:val="20"/>
                <w:szCs w:val="20"/>
                <w:color w:val="auto"/>
              </w:rPr>
            </w:pPr>
            <w:r>
              <w:rPr>
                <w:rFonts w:ascii="Arial" w:cs="Arial" w:eastAsia="Arial" w:hAnsi="Arial"/>
                <w:sz w:val="14"/>
                <w:szCs w:val="14"/>
                <w:color w:val="auto"/>
              </w:rPr>
              <w:t>Revenue by Segment: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4"/>
        </w:trPr>
        <w:tc>
          <w:tcPr>
            <w:tcW w:w="50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4"/>
                <w:szCs w:val="14"/>
                <w:color w:val="auto"/>
              </w:rPr>
              <w:t>Business</w:t>
            </w:r>
          </w:p>
        </w:tc>
        <w:tc>
          <w:tcPr>
            <w:tcW w:w="2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FFCC"/>
            </w:tcBorders>
            <w:shd w:val="clear" w:color="auto" w:fill="CCFFCC"/>
          </w:tcPr>
          <w:p>
            <w:pPr>
              <w:jc w:val="right"/>
              <w:ind w:right="54"/>
              <w:spacing w:after="0"/>
              <w:rPr>
                <w:sz w:val="20"/>
                <w:szCs w:val="20"/>
                <w:color w:val="auto"/>
              </w:rPr>
            </w:pPr>
            <w:r>
              <w:rPr>
                <w:rFonts w:ascii="Arial" w:cs="Arial" w:eastAsia="Arial" w:hAnsi="Arial"/>
                <w:sz w:val="14"/>
                <w:szCs w:val="14"/>
                <w:color w:val="auto"/>
              </w:rPr>
              <w:t>84,016</w:t>
            </w:r>
          </w:p>
        </w:tc>
        <w:tc>
          <w:tcPr>
            <w:tcW w:w="12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bottom w:val="single" w:sz="8" w:color="CCFFCC"/>
            </w:tcBorders>
            <w:shd w:val="clear" w:color="auto" w:fill="CCFFCC"/>
          </w:tcPr>
          <w:p>
            <w:pPr>
              <w:jc w:val="right"/>
              <w:ind w:right="17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FFCC"/>
            </w:tcBorders>
            <w:shd w:val="clear" w:color="auto" w:fill="CCFFCC"/>
          </w:tcPr>
          <w:p>
            <w:pPr>
              <w:jc w:val="right"/>
              <w:ind w:right="52"/>
              <w:spacing w:after="0"/>
              <w:rPr>
                <w:sz w:val="20"/>
                <w:szCs w:val="20"/>
                <w:color w:val="auto"/>
              </w:rPr>
            </w:pPr>
            <w:r>
              <w:rPr>
                <w:rFonts w:ascii="Arial" w:cs="Arial" w:eastAsia="Arial" w:hAnsi="Arial"/>
                <w:sz w:val="14"/>
                <w:szCs w:val="14"/>
                <w:color w:val="auto"/>
              </w:rPr>
              <w:t>64,835</w:t>
            </w:r>
          </w:p>
        </w:tc>
        <w:tc>
          <w:tcPr>
            <w:tcW w:w="100" w:type="dxa"/>
            <w:vAlign w:val="bottom"/>
          </w:tcPr>
          <w:p>
            <w:pPr>
              <w:spacing w:after="0"/>
              <w:rPr>
                <w:sz w:val="18"/>
                <w:szCs w:val="18"/>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155,865</w:t>
            </w:r>
          </w:p>
        </w:tc>
        <w:tc>
          <w:tcPr>
            <w:tcW w:w="400" w:type="dxa"/>
            <w:vAlign w:val="bottom"/>
            <w:tcBorders>
              <w:bottom w:val="single" w:sz="8" w:color="CCFFCC"/>
            </w:tcBorders>
            <w:shd w:val="clear" w:color="auto" w:fill="CCFFCC"/>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4"/>
                <w:szCs w:val="14"/>
                <w:color w:val="auto"/>
              </w:rPr>
              <w:t>125,830</w:t>
            </w:r>
          </w:p>
        </w:tc>
        <w:tc>
          <w:tcPr>
            <w:tcW w:w="120" w:type="dxa"/>
            <w:vAlign w:val="bottom"/>
          </w:tcPr>
          <w:p>
            <w:pPr>
              <w:spacing w:after="0"/>
              <w:rPr>
                <w:sz w:val="18"/>
                <w:szCs w:val="18"/>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24%</w:t>
            </w:r>
          </w:p>
        </w:tc>
      </w:tr>
      <w:tr>
        <w:trPr>
          <w:trHeight w:val="206"/>
        </w:trPr>
        <w:tc>
          <w:tcPr>
            <w:tcW w:w="5060" w:type="dxa"/>
            <w:vAlign w:val="bottom"/>
          </w:tcPr>
          <w:p>
            <w:pPr>
              <w:ind w:left="22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17"/>
                <w:szCs w:val="17"/>
                <w:color w:val="auto"/>
              </w:rPr>
            </w:pPr>
          </w:p>
        </w:tc>
        <w:tc>
          <w:tcPr>
            <w:tcW w:w="700" w:type="dxa"/>
            <w:vAlign w:val="bottom"/>
          </w:tcPr>
          <w:p>
            <w:pPr>
              <w:jc w:val="right"/>
              <w:ind w:right="54"/>
              <w:spacing w:after="0"/>
              <w:rPr>
                <w:sz w:val="20"/>
                <w:szCs w:val="20"/>
                <w:color w:val="auto"/>
              </w:rPr>
            </w:pPr>
            <w:r>
              <w:rPr>
                <w:rFonts w:ascii="Arial" w:cs="Arial" w:eastAsia="Arial" w:hAnsi="Arial"/>
                <w:sz w:val="14"/>
                <w:szCs w:val="14"/>
                <w:color w:val="auto"/>
              </w:rPr>
              <w:t>7,587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6,124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13,826</w:t>
            </w:r>
          </w:p>
        </w:tc>
        <w:tc>
          <w:tcPr>
            <w:tcW w:w="400" w:type="dxa"/>
            <w:vAlign w:val="bottom"/>
          </w:tcPr>
          <w:p>
            <w:pPr>
              <w:spacing w:after="0"/>
              <w:rPr>
                <w:sz w:val="17"/>
                <w:szCs w:val="17"/>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11,531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217"/>
        </w:trPr>
        <w:tc>
          <w:tcPr>
            <w:tcW w:w="5060" w:type="dxa"/>
            <w:vAlign w:val="bottom"/>
            <w:tcBorders>
              <w:top w:val="single" w:sz="8" w:color="CCFFCC"/>
              <w:bottom w:val="single" w:sz="8" w:color="CCFFCC"/>
            </w:tcBorders>
            <w:shd w:val="clear" w:color="auto" w:fill="CCFFCC"/>
          </w:tcPr>
          <w:p>
            <w:pPr>
              <w:ind w:left="3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FFCC"/>
          </w:tcPr>
          <w:p>
            <w:pPr>
              <w:jc w:val="right"/>
              <w:ind w:right="54"/>
              <w:spacing w:after="0"/>
              <w:rPr>
                <w:sz w:val="20"/>
                <w:szCs w:val="20"/>
                <w:color w:val="auto"/>
              </w:rPr>
            </w:pPr>
            <w:r>
              <w:rPr>
                <w:rFonts w:ascii="Arial" w:cs="Arial" w:eastAsia="Arial" w:hAnsi="Arial"/>
                <w:sz w:val="14"/>
                <w:szCs w:val="14"/>
                <w:color w:val="auto"/>
              </w:rPr>
              <w:t>91,603</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ind w:right="170"/>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70,959</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169,691</w:t>
            </w:r>
          </w:p>
        </w:tc>
        <w:tc>
          <w:tcPr>
            <w:tcW w:w="400" w:type="dxa"/>
            <w:vAlign w:val="bottom"/>
            <w:tcBorders>
              <w:top w:val="single" w:sz="8" w:color="auto"/>
              <w:bottom w:val="single" w:sz="8" w:color="auto"/>
            </w:tcBorders>
            <w:shd w:val="clear" w:color="auto" w:fill="CCFFCC"/>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137,361</w:t>
            </w:r>
          </w:p>
        </w:tc>
        <w:tc>
          <w:tcPr>
            <w:tcW w:w="120" w:type="dxa"/>
            <w:vAlign w:val="bottom"/>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ind w:right="20" w:firstLine="561"/>
        <w:spacing w:after="0" w:line="292" w:lineRule="auto"/>
        <w:rPr>
          <w:sz w:val="20"/>
          <w:szCs w:val="20"/>
          <w:color w:val="auto"/>
        </w:rPr>
      </w:pPr>
      <w:r>
        <w:rPr>
          <w:rFonts w:ascii="Arial" w:cs="Arial" w:eastAsia="Arial" w:hAnsi="Arial"/>
          <w:sz w:val="14"/>
          <w:szCs w:val="14"/>
          <w:color w:val="222222"/>
        </w:rPr>
        <w:t xml:space="preserve">Business revenue increased by 30% to $84.0 million and by 24% to $155.9 million in the three months and </w:t>
      </w:r>
      <w:r>
        <w:rPr>
          <w:rFonts w:ascii="Arial" w:cs="Arial" w:eastAsia="Arial" w:hAnsi="Arial"/>
          <w:sz w:val="14"/>
          <w:szCs w:val="14"/>
          <w:color w:val="000000"/>
        </w:rPr>
        <w:t>six months ended June 30, 2020</w:t>
      </w:r>
      <w:r>
        <w:rPr>
          <w:rFonts w:ascii="Arial" w:cs="Arial" w:eastAsia="Arial" w:hAnsi="Arial"/>
          <w:sz w:val="14"/>
          <w:szCs w:val="14"/>
          <w:color w:val="222222"/>
        </w:rPr>
        <w:t xml:space="preserve">, respectively, from $64.8 million and $125.8 million, respectively, in the comparable periods in 2019. The increase in B2B revenue is driven mainly by increases in hosted services of $18.7 million and $28.2 million during the three months and </w:t>
      </w:r>
      <w:r>
        <w:rPr>
          <w:rFonts w:ascii="Arial" w:cs="Arial" w:eastAsia="Arial" w:hAnsi="Arial"/>
          <w:sz w:val="14"/>
          <w:szCs w:val="14"/>
          <w:color w:val="000000"/>
        </w:rPr>
        <w:t>six months ended June 30, 2020</w:t>
      </w:r>
      <w:r>
        <w:rPr>
          <w:rFonts w:ascii="Arial" w:cs="Arial" w:eastAsia="Arial" w:hAnsi="Arial"/>
          <w:sz w:val="14"/>
          <w:szCs w:val="14"/>
          <w:color w:val="222222"/>
        </w:rPr>
        <w:t xml:space="preserve">, respectively, and an increase in professional services of $0.4 million and $1.8 million during the three months and </w:t>
      </w:r>
      <w:r>
        <w:rPr>
          <w:rFonts w:ascii="Arial" w:cs="Arial" w:eastAsia="Arial" w:hAnsi="Arial"/>
          <w:sz w:val="14"/>
          <w:szCs w:val="14"/>
          <w:color w:val="000000"/>
        </w:rPr>
        <w:t>six months ended June 30, 2020</w:t>
      </w:r>
      <w:r>
        <w:rPr>
          <w:rFonts w:ascii="Arial" w:cs="Arial" w:eastAsia="Arial" w:hAnsi="Arial"/>
          <w:sz w:val="14"/>
          <w:szCs w:val="14"/>
          <w:color w:val="222222"/>
        </w:rPr>
        <w:t xml:space="preserve">, respectively. Included in hosted services, is an increase in revenue that is variable based on interactions and usage of approximately $11.1 million and $21.7 million during the three and </w:t>
      </w:r>
      <w:r>
        <w:rPr>
          <w:rFonts w:ascii="Arial" w:cs="Arial" w:eastAsia="Arial" w:hAnsi="Arial"/>
          <w:sz w:val="14"/>
          <w:szCs w:val="14"/>
          <w:color w:val="000000"/>
        </w:rPr>
        <w:t>six months ended June 30, 2020</w:t>
      </w:r>
      <w:r>
        <w:rPr>
          <w:rFonts w:ascii="Arial" w:cs="Arial" w:eastAsia="Arial" w:hAnsi="Arial"/>
          <w:sz w:val="14"/>
          <w:szCs w:val="14"/>
          <w:color w:val="222222"/>
        </w:rPr>
        <w:t>, respectively.</w:t>
      </w:r>
    </w:p>
    <w:p>
      <w:pPr>
        <w:spacing w:after="0" w:line="142"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4"/>
          <w:szCs w:val="14"/>
          <w:color w:val="222222"/>
        </w:rPr>
        <w:t>The increase in Business revenue was driven in nearly equal parts by existing and new customers as LivePerson generated greater demand for its Conversational Commerce software and gainshare solutions. In the wake of the coronavirus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As adoption increases, we are seeing higher revenue per customer. Our average annual revenue per enterprise and midmarket customer increased approximately 25% year over year to $395,000 in the trailing twelve months ended June 30, 2020, from $310,000 in the prior year period. Similarly, we are seeing strong revenue retention rates. Revenue retention for our enterprise and midmarket customers was above our target range of 105% to 115% for the period ended June 30, 2020, which marked the 14th consecutive quarter of a greater than 100% revenue retention rate.</w:t>
      </w:r>
    </w:p>
    <w:p>
      <w:pPr>
        <w:spacing w:after="0" w:line="334"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Consumer revenue increased by 24% and 20% to $7.6 million and 13.8 million in the three and six months ended June 30, 2020, respectively, from $6.1 million and $11.5 million, respectively, in the comparable periods in 2019. This improvement was driven by an increasingly effective digital marketing program and stronger demand by consumers to engage with experts and advisors through conversational messaging channels</w:t>
      </w:r>
    </w:p>
    <w:p>
      <w:pPr>
        <w:spacing w:after="0" w:line="35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Cost of Revenue - Business</w:t>
      </w:r>
    </w:p>
    <w:p>
      <w:pPr>
        <w:spacing w:after="0" w:line="96" w:lineRule="exact"/>
        <w:rPr>
          <w:sz w:val="20"/>
          <w:szCs w:val="20"/>
          <w:color w:val="auto"/>
        </w:rPr>
      </w:pPr>
    </w:p>
    <w:p>
      <w:pPr>
        <w:jc w:val="both"/>
        <w:ind w:right="20" w:firstLine="561"/>
        <w:spacing w:after="0" w:line="334" w:lineRule="auto"/>
        <w:rPr>
          <w:sz w:val="20"/>
          <w:szCs w:val="20"/>
          <w:color w:val="auto"/>
        </w:rPr>
      </w:pPr>
      <w:r>
        <w:rPr>
          <w:rFonts w:ascii="Arial" w:cs="Arial" w:eastAsia="Arial" w:hAnsi="Arial"/>
          <w:sz w:val="14"/>
          <w:szCs w:val="14"/>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60"/>
          </w:cols>
          <w:pgMar w:left="320" w:top="497"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6"/>
        </w:trPr>
        <w:tc>
          <w:tcPr>
            <w:tcW w:w="5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558"/>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638"/>
              <w:spacing w:after="0"/>
              <w:rPr>
                <w:sz w:val="20"/>
                <w:szCs w:val="20"/>
                <w:color w:val="auto"/>
              </w:rPr>
            </w:pPr>
            <w:r>
              <w:rPr>
                <w:rFonts w:ascii="Arial" w:cs="Arial" w:eastAsia="Arial" w:hAnsi="Arial"/>
                <w:sz w:val="12"/>
                <w:szCs w:val="12"/>
                <w:b w:val="1"/>
                <w:bCs w:val="1"/>
                <w:color w:val="auto"/>
              </w:rPr>
              <w:t>Six Months Ended June 30,</w:t>
            </w:r>
          </w:p>
        </w:tc>
      </w:tr>
      <w:tr>
        <w:trPr>
          <w:trHeight w:val="225"/>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74"/>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9"/>
                <w:szCs w:val="19"/>
                <w:color w:val="auto"/>
              </w:rPr>
            </w:pPr>
          </w:p>
        </w:tc>
        <w:tc>
          <w:tcPr>
            <w:tcW w:w="700" w:type="dxa"/>
            <w:vAlign w:val="bottom"/>
          </w:tcPr>
          <w:p>
            <w:pPr>
              <w:jc w:val="right"/>
              <w:ind w:right="27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Arial" w:cs="Arial" w:eastAsia="Arial" w:hAnsi="Arial"/>
                <w:sz w:val="12"/>
                <w:szCs w:val="12"/>
                <w:b w:val="1"/>
                <w:bCs w:val="1"/>
                <w:color w:val="auto"/>
              </w:rPr>
              <w:t>% Change</w:t>
            </w:r>
          </w:p>
        </w:tc>
        <w:tc>
          <w:tcPr>
            <w:tcW w:w="220" w:type="dxa"/>
            <w:vAlign w:val="bottom"/>
          </w:tcPr>
          <w:p>
            <w:pPr>
              <w:spacing w:after="0"/>
              <w:rPr>
                <w:sz w:val="19"/>
                <w:szCs w:val="19"/>
                <w:color w:val="auto"/>
              </w:rPr>
            </w:pPr>
          </w:p>
        </w:tc>
        <w:tc>
          <w:tcPr>
            <w:tcW w:w="700" w:type="dxa"/>
            <w:vAlign w:val="bottom"/>
          </w:tcPr>
          <w:p>
            <w:pPr>
              <w:jc w:val="right"/>
              <w:ind w:right="274"/>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9"/>
                <w:szCs w:val="19"/>
                <w:color w:val="auto"/>
              </w:rPr>
            </w:pPr>
          </w:p>
        </w:tc>
        <w:tc>
          <w:tcPr>
            <w:tcW w:w="700" w:type="dxa"/>
            <w:vAlign w:val="bottom"/>
          </w:tcPr>
          <w:p>
            <w:pPr>
              <w:jc w:val="right"/>
              <w:ind w:right="25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2"/>
                <w:szCs w:val="12"/>
                <w:b w:val="1"/>
                <w:bCs w:val="1"/>
                <w:color w:val="auto"/>
              </w:rPr>
              <w:t>% Change</w:t>
            </w:r>
          </w:p>
        </w:tc>
      </w:tr>
      <w:tr>
        <w:trPr>
          <w:trHeight w:val="225"/>
        </w:trPr>
        <w:tc>
          <w:tcPr>
            <w:tcW w:w="5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412"/>
              <w:spacing w:after="0"/>
              <w:rPr>
                <w:sz w:val="20"/>
                <w:szCs w:val="20"/>
                <w:color w:val="auto"/>
              </w:rPr>
            </w:pPr>
            <w:r>
              <w:rPr>
                <w:rFonts w:ascii="Arial" w:cs="Arial" w:eastAsia="Arial" w:hAnsi="Arial"/>
                <w:sz w:val="12"/>
                <w:szCs w:val="12"/>
                <w:b w:val="1"/>
                <w:bCs w:val="1"/>
                <w:color w:val="auto"/>
              </w:rPr>
              <w:t>($ in thousands)</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3"/>
          </w:tcPr>
          <w:p>
            <w:pPr>
              <w:jc w:val="right"/>
              <w:ind w:right="392"/>
              <w:spacing w:after="0"/>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1"/>
        </w:trPr>
        <w:tc>
          <w:tcPr>
            <w:tcW w:w="5440" w:type="dxa"/>
            <w:vAlign w:val="bottom"/>
          </w:tcPr>
          <w:p>
            <w:pPr>
              <w:ind w:left="20"/>
              <w:spacing w:after="0"/>
              <w:rPr>
                <w:sz w:val="20"/>
                <w:szCs w:val="20"/>
                <w:color w:val="auto"/>
              </w:rPr>
            </w:pPr>
            <w:r>
              <w:rPr>
                <w:rFonts w:ascii="Arial" w:cs="Arial" w:eastAsia="Arial" w:hAnsi="Arial"/>
                <w:sz w:val="14"/>
                <w:szCs w:val="14"/>
                <w:color w:val="auto"/>
              </w:rPr>
              <w:t>Cost of revenue - business</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26,085</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16,960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47,430</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34,622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37%</w:t>
            </w:r>
          </w:p>
        </w:tc>
      </w:tr>
      <w:tr>
        <w:trPr>
          <w:trHeight w:val="28"/>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4"/>
        </w:trPr>
        <w:tc>
          <w:tcPr>
            <w:tcW w:w="54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22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20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r>
      <w:tr>
        <w:trPr>
          <w:trHeight w:val="206"/>
        </w:trPr>
        <w:tc>
          <w:tcPr>
            <w:tcW w:w="544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212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236</w:t>
            </w:r>
          </w:p>
        </w:tc>
        <w:tc>
          <w:tcPr>
            <w:tcW w:w="20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212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w:t>
            </w:r>
          </w:p>
        </w:tc>
      </w:tr>
    </w:tbl>
    <w:p>
      <w:pPr>
        <w:spacing w:after="0" w:line="109" w:lineRule="exact"/>
        <w:rPr>
          <w:sz w:val="20"/>
          <w:szCs w:val="20"/>
          <w:color w:val="auto"/>
        </w:rPr>
      </w:pPr>
    </w:p>
    <w:p>
      <w:pPr>
        <w:jc w:val="both"/>
        <w:ind w:firstLine="561"/>
        <w:spacing w:after="0" w:line="292" w:lineRule="auto"/>
        <w:rPr>
          <w:sz w:val="20"/>
          <w:szCs w:val="20"/>
          <w:color w:val="auto"/>
        </w:rPr>
      </w:pPr>
      <w:r>
        <w:rPr>
          <w:rFonts w:ascii="Arial" w:cs="Arial" w:eastAsia="Arial" w:hAnsi="Arial"/>
          <w:sz w:val="14"/>
          <w:szCs w:val="14"/>
          <w:color w:val="auto"/>
        </w:rPr>
        <w:t>Cost of revenue - Business increased by 54% to $26.1 million in the three months ended June 30, 2020, from $17.0 million in the comparable period in 2019. This increase in expense is primarily attributable to business services and outsourced subcontracted labor of approximately $5.1 million as the Company saw a sharp increase in demand for its gainshare services, which power Conversational Commerce programs on behalf of customers. The Company also recognized an increase in salary and related employee expenses of approximately $3.4 million, an increase in depreciation of approximately $0.4 million, and in backup server facilities and allocated occupancy costs and overhead of approximately $0.2 million, the sum of which are primarily associated with supporting an expanding customer base and increased platform volumes.</w:t>
      </w:r>
    </w:p>
    <w:p>
      <w:pPr>
        <w:spacing w:after="0" w:line="236"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Cost of revenue - business increased by 37% to $47.4 million in the six months ended June 30, 2020, from $34.6 million in the comparable period in 2019. This increase in expense is primarily attributable to business services and outsourced subcontracted labor of approximately $6.7 million, an increase in salary and related employee expenses of approximately $5.4 million, and in depreciation of approximately $0.7 million.</w:t>
      </w:r>
    </w:p>
    <w:p>
      <w:pPr>
        <w:spacing w:after="0" w:line="35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Cost of Revenue - Consumer</w:t>
      </w:r>
    </w:p>
    <w:p>
      <w:pPr>
        <w:spacing w:after="0" w:line="96"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598"/>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678"/>
              <w:spacing w:after="0"/>
              <w:rPr>
                <w:sz w:val="20"/>
                <w:szCs w:val="20"/>
                <w:color w:val="auto"/>
              </w:rPr>
            </w:pPr>
            <w:r>
              <w:rPr>
                <w:rFonts w:ascii="Arial" w:cs="Arial" w:eastAsia="Arial" w:hAnsi="Arial"/>
                <w:sz w:val="12"/>
                <w:szCs w:val="12"/>
                <w:b w:val="1"/>
                <w:bCs w:val="1"/>
                <w:color w:val="auto"/>
              </w:rPr>
              <w:t>Six Months Ended June 30,</w:t>
            </w:r>
          </w:p>
        </w:tc>
      </w:tr>
      <w:tr>
        <w:trPr>
          <w:trHeight w:val="225"/>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14"/>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5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Arial" w:cs="Arial" w:eastAsia="Arial" w:hAnsi="Arial"/>
                <w:sz w:val="12"/>
                <w:szCs w:val="12"/>
                <w:b w:val="1"/>
                <w:bCs w:val="1"/>
                <w:color w:val="auto"/>
              </w:rPr>
              <w:t>% Change</w:t>
            </w:r>
          </w:p>
        </w:tc>
        <w:tc>
          <w:tcPr>
            <w:tcW w:w="220" w:type="dxa"/>
            <w:vAlign w:val="bottom"/>
          </w:tcPr>
          <w:p>
            <w:pPr>
              <w:spacing w:after="0"/>
              <w:rPr>
                <w:sz w:val="19"/>
                <w:szCs w:val="19"/>
                <w:color w:val="auto"/>
              </w:rPr>
            </w:pPr>
          </w:p>
        </w:tc>
        <w:tc>
          <w:tcPr>
            <w:tcW w:w="740" w:type="dxa"/>
            <w:vAlign w:val="bottom"/>
          </w:tcPr>
          <w:p>
            <w:pPr>
              <w:jc w:val="right"/>
              <w:ind w:right="314"/>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5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2"/>
                <w:szCs w:val="12"/>
                <w:b w:val="1"/>
                <w:bCs w:val="1"/>
                <w:color w:val="auto"/>
              </w:rPr>
              <w:t>% Change</w:t>
            </w:r>
          </w:p>
        </w:tc>
      </w:tr>
      <w:tr>
        <w:trPr>
          <w:trHeight w:val="225"/>
        </w:trPr>
        <w:tc>
          <w:tcPr>
            <w:tcW w:w="5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4"/>
                <w:szCs w:val="14"/>
                <w:color w:val="auto"/>
              </w:rPr>
              <w:t>Cost of revenue - consumer</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4"/>
              <w:spacing w:after="0"/>
              <w:rPr>
                <w:sz w:val="20"/>
                <w:szCs w:val="20"/>
                <w:color w:val="auto"/>
              </w:rPr>
            </w:pPr>
            <w:r>
              <w:rPr>
                <w:rFonts w:ascii="Arial" w:cs="Arial" w:eastAsia="Arial" w:hAnsi="Arial"/>
                <w:sz w:val="14"/>
                <w:szCs w:val="14"/>
                <w:color w:val="auto"/>
              </w:rPr>
              <w:t>1,622</w:t>
            </w:r>
          </w:p>
        </w:tc>
        <w:tc>
          <w:tcPr>
            <w:tcW w:w="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1,089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3,096</w:t>
            </w:r>
          </w:p>
        </w:tc>
        <w:tc>
          <w:tcPr>
            <w:tcW w:w="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2,076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49%</w:t>
            </w:r>
          </w:p>
        </w:tc>
      </w:tr>
      <w:tr>
        <w:trPr>
          <w:trHeight w:val="28"/>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4"/>
        </w:trPr>
        <w:tc>
          <w:tcPr>
            <w:tcW w:w="52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r>
      <w:tr>
        <w:trPr>
          <w:trHeight w:val="206"/>
        </w:trPr>
        <w:tc>
          <w:tcPr>
            <w:tcW w:w="524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43%</w:t>
            </w:r>
          </w:p>
        </w:tc>
      </w:tr>
    </w:tbl>
    <w:p>
      <w:pPr>
        <w:spacing w:after="0" w:line="109"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Cost of revenue - consumer increased by 49% to $1.6 million in the three months ended June 30, 2020 from $1.1 million in the comparable period in 2019. This variance was primarily attributable to increases in depreciation of approximately $0.2 million, business services and outsourced subcontracted labor of approximately $0.2 million, and salary and related employee expenses of approximately $0.1 million.</w:t>
      </w:r>
    </w:p>
    <w:p>
      <w:pPr>
        <w:spacing w:after="0" w:line="72"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Cost of revenue - consumer increased by 49% to $3.1 million in the six months ended June 30, 2020 from $2.1 million in the comparable period in 2019. This variance was primarily attributable to increases in business services and outsourced subcontracted labor of approximately $0.5 million, depreciation of approximately $0.3 million, backup server facilities of $0.1 million, and credit card processing fees of approximately $0.1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60"/>
          </w:cols>
          <w:pgMar w:left="320" w:top="692" w:right="319" w:bottom="1440" w:gutter="0" w:footer="0" w:header="0"/>
        </w:sectPr>
      </w:pPr>
    </w:p>
    <w:bookmarkStart w:id="48" w:name="page49"/>
    <w:bookmarkEnd w:id="48"/>
    <w:p>
      <w:pPr>
        <w:ind w:left="560"/>
        <w:spacing w:after="0"/>
        <w:rPr>
          <w:sz w:val="20"/>
          <w:szCs w:val="20"/>
          <w:color w:val="auto"/>
        </w:rPr>
      </w:pPr>
      <w:r>
        <w:rPr>
          <w:rFonts w:ascii="Arial" w:cs="Arial" w:eastAsia="Arial" w:hAnsi="Arial"/>
          <w:sz w:val="16"/>
          <w:szCs w:val="16"/>
          <w:i w:val="1"/>
          <w:iCs w:val="1"/>
          <w:color w:val="auto"/>
        </w:rPr>
        <w:t>Sales and Marketing - Business</w:t>
      </w:r>
    </w:p>
    <w:p>
      <w:pPr>
        <w:spacing w:after="0" w:line="96"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500"/>
              <w:spacing w:after="0"/>
              <w:rPr>
                <w:sz w:val="20"/>
                <w:szCs w:val="20"/>
                <w:color w:val="auto"/>
              </w:rPr>
            </w:pPr>
            <w:r>
              <w:rPr>
                <w:rFonts w:ascii="Arial" w:cs="Arial" w:eastAsia="Arial" w:hAnsi="Arial"/>
                <w:sz w:val="12"/>
                <w:szCs w:val="12"/>
                <w:b w:val="1"/>
                <w:bCs w:val="1"/>
                <w:color w:val="auto"/>
              </w:rPr>
              <w:t>Three Months Ended June 30,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2"/>
                <w:szCs w:val="12"/>
                <w:b w:val="1"/>
                <w:bCs w:val="1"/>
                <w:color w:val="auto"/>
                <w:w w:val="92"/>
              </w:rPr>
              <w:t>Six Months Ended June 30,</w:t>
            </w:r>
          </w:p>
        </w:tc>
      </w:tr>
      <w:tr>
        <w:trPr>
          <w:trHeight w:val="225"/>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14"/>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9"/>
                <w:szCs w:val="19"/>
                <w:color w:val="auto"/>
              </w:rPr>
            </w:pPr>
          </w:p>
        </w:tc>
        <w:tc>
          <w:tcPr>
            <w:tcW w:w="700" w:type="dxa"/>
            <w:vAlign w:val="bottom"/>
          </w:tcPr>
          <w:p>
            <w:pPr>
              <w:jc w:val="right"/>
              <w:ind w:right="272"/>
              <w:spacing w:after="0"/>
              <w:rPr>
                <w:sz w:val="20"/>
                <w:szCs w:val="20"/>
                <w:color w:val="auto"/>
              </w:rPr>
            </w:pPr>
            <w:r>
              <w:rPr>
                <w:rFonts w:ascii="Arial" w:cs="Arial" w:eastAsia="Arial" w:hAnsi="Arial"/>
                <w:sz w:val="12"/>
                <w:szCs w:val="12"/>
                <w:b w:val="1"/>
                <w:bCs w:val="1"/>
                <w:color w:val="auto"/>
              </w:rPr>
              <w:t>2019</w:t>
            </w:r>
          </w:p>
        </w:tc>
        <w:tc>
          <w:tcPr>
            <w:tcW w:w="1380" w:type="dxa"/>
            <w:vAlign w:val="bottom"/>
            <w:gridSpan w:val="3"/>
          </w:tcPr>
          <w:p>
            <w:pPr>
              <w:ind w:left="300"/>
              <w:spacing w:after="0"/>
              <w:rPr>
                <w:sz w:val="20"/>
                <w:szCs w:val="20"/>
                <w:color w:val="auto"/>
              </w:rPr>
            </w:pPr>
            <w:r>
              <w:rPr>
                <w:rFonts w:ascii="Arial" w:cs="Arial" w:eastAsia="Arial" w:hAnsi="Arial"/>
                <w:sz w:val="12"/>
                <w:szCs w:val="12"/>
                <w:b w:val="1"/>
                <w:bCs w:val="1"/>
                <w:color w:val="auto"/>
              </w:rPr>
              <w:t>% Change</w:t>
            </w:r>
          </w:p>
        </w:tc>
        <w:tc>
          <w:tcPr>
            <w:tcW w:w="580" w:type="dxa"/>
            <w:vAlign w:val="bottom"/>
          </w:tcPr>
          <w:p>
            <w:pPr>
              <w:jc w:val="right"/>
              <w:ind w:right="133"/>
              <w:spacing w:after="0"/>
              <w:rPr>
                <w:sz w:val="20"/>
                <w:szCs w:val="20"/>
                <w:color w:val="auto"/>
              </w:rPr>
            </w:pPr>
            <w:r>
              <w:rPr>
                <w:rFonts w:ascii="Arial" w:cs="Arial" w:eastAsia="Arial" w:hAnsi="Arial"/>
                <w:sz w:val="12"/>
                <w:szCs w:val="12"/>
                <w:b w:val="1"/>
                <w:bCs w:val="1"/>
                <w:color w:val="auto"/>
              </w:rPr>
              <w:t>2020</w:t>
            </w:r>
          </w:p>
        </w:tc>
        <w:tc>
          <w:tcPr>
            <w:tcW w:w="440" w:type="dxa"/>
            <w:vAlign w:val="bottom"/>
          </w:tcPr>
          <w:p>
            <w:pPr>
              <w:spacing w:after="0"/>
              <w:rPr>
                <w:sz w:val="19"/>
                <w:szCs w:val="19"/>
                <w:color w:val="auto"/>
              </w:rPr>
            </w:pPr>
          </w:p>
        </w:tc>
        <w:tc>
          <w:tcPr>
            <w:tcW w:w="700" w:type="dxa"/>
            <w:vAlign w:val="bottom"/>
          </w:tcPr>
          <w:p>
            <w:pPr>
              <w:jc w:val="right"/>
              <w:ind w:right="272"/>
              <w:spacing w:after="0"/>
              <w:rPr>
                <w:sz w:val="20"/>
                <w:szCs w:val="20"/>
                <w:color w:val="auto"/>
              </w:rPr>
            </w:pPr>
            <w:r>
              <w:rPr>
                <w:rFonts w:ascii="Arial" w:cs="Arial" w:eastAsia="Arial" w:hAnsi="Arial"/>
                <w:sz w:val="12"/>
                <w:szCs w:val="12"/>
                <w:b w:val="1"/>
                <w:bCs w:val="1"/>
                <w:color w:val="auto"/>
              </w:rPr>
              <w:t>2019</w:t>
            </w:r>
          </w:p>
        </w:tc>
        <w:tc>
          <w:tcPr>
            <w:tcW w:w="1080" w:type="dxa"/>
            <w:vAlign w:val="bottom"/>
          </w:tcPr>
          <w:p>
            <w:pPr>
              <w:jc w:val="right"/>
              <w:ind w:right="133"/>
              <w:spacing w:after="0"/>
              <w:rPr>
                <w:sz w:val="20"/>
                <w:szCs w:val="20"/>
                <w:color w:val="auto"/>
              </w:rPr>
            </w:pPr>
            <w:r>
              <w:rPr>
                <w:rFonts w:ascii="Arial" w:cs="Arial" w:eastAsia="Arial" w:hAnsi="Arial"/>
                <w:sz w:val="12"/>
                <w:szCs w:val="12"/>
                <w:b w:val="1"/>
                <w:bCs w:val="1"/>
                <w:color w:val="auto"/>
              </w:rPr>
              <w:t>% Change</w:t>
            </w:r>
          </w:p>
        </w:tc>
      </w:tr>
      <w:tr>
        <w:trPr>
          <w:trHeight w:val="225"/>
        </w:trPr>
        <w:tc>
          <w:tcPr>
            <w:tcW w:w="5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72"/>
              <w:spacing w:after="0"/>
              <w:rPr>
                <w:sz w:val="20"/>
                <w:szCs w:val="20"/>
                <w:color w:val="auto"/>
              </w:rPr>
            </w:pPr>
            <w:r>
              <w:rPr>
                <w:rFonts w:ascii="Arial" w:cs="Arial" w:eastAsia="Arial" w:hAnsi="Arial"/>
                <w:sz w:val="12"/>
                <w:szCs w:val="12"/>
                <w:b w:val="1"/>
                <w:bCs w:val="1"/>
                <w:color w:val="auto"/>
              </w:rPr>
              <w:t>($ in thousands)</w:t>
            </w: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 in thousands)</w:t>
            </w:r>
          </w:p>
        </w:tc>
        <w:tc>
          <w:tcPr>
            <w:tcW w:w="1080" w:type="dxa"/>
            <w:vAlign w:val="bottom"/>
            <w:tcBorders>
              <w:top w:val="single" w:sz="8" w:color="auto"/>
            </w:tcBorders>
          </w:tcPr>
          <w:p>
            <w:pPr>
              <w:spacing w:after="0"/>
              <w:rPr>
                <w:sz w:val="19"/>
                <w:szCs w:val="19"/>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4"/>
                <w:szCs w:val="14"/>
                <w:color w:val="auto"/>
              </w:rPr>
              <w:t>Sales and marketing - business</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28,926</w:t>
            </w:r>
          </w:p>
        </w:tc>
        <w:tc>
          <w:tcPr>
            <w:tcW w:w="2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35,568</w:t>
            </w:r>
          </w:p>
        </w:tc>
        <w:tc>
          <w:tcPr>
            <w:tcW w:w="1380" w:type="dxa"/>
            <w:vAlign w:val="bottom"/>
            <w:gridSpan w:val="3"/>
          </w:tcPr>
          <w:p>
            <w:pPr>
              <w:ind w:left="700"/>
              <w:spacing w:after="0"/>
              <w:rPr>
                <w:sz w:val="20"/>
                <w:szCs w:val="20"/>
                <w:color w:val="auto"/>
              </w:rPr>
            </w:pPr>
            <w:r>
              <w:rPr>
                <w:rFonts w:ascii="Arial" w:cs="Arial" w:eastAsia="Arial" w:hAnsi="Arial"/>
                <w:sz w:val="14"/>
                <w:szCs w:val="14"/>
                <w:color w:val="auto"/>
              </w:rPr>
              <w:t>(19)%  $</w:t>
            </w:r>
          </w:p>
        </w:tc>
        <w:tc>
          <w:tcPr>
            <w:tcW w:w="580" w:type="dxa"/>
            <w:vAlign w:val="bottom"/>
          </w:tcPr>
          <w:p>
            <w:pPr>
              <w:jc w:val="right"/>
              <w:spacing w:after="0"/>
              <w:rPr>
                <w:sz w:val="20"/>
                <w:szCs w:val="20"/>
                <w:color w:val="auto"/>
              </w:rPr>
            </w:pPr>
            <w:r>
              <w:rPr>
                <w:rFonts w:ascii="Arial" w:cs="Arial" w:eastAsia="Arial" w:hAnsi="Arial"/>
                <w:sz w:val="14"/>
                <w:szCs w:val="14"/>
                <w:color w:val="auto"/>
              </w:rPr>
              <w:t>66,395</w:t>
            </w:r>
          </w:p>
        </w:tc>
        <w:tc>
          <w:tcPr>
            <w:tcW w:w="44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65,660</w:t>
            </w:r>
          </w:p>
        </w:tc>
        <w:tc>
          <w:tcPr>
            <w:tcW w:w="108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28"/>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4"/>
        </w:trPr>
        <w:tc>
          <w:tcPr>
            <w:tcW w:w="5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50%</w:t>
            </w:r>
          </w:p>
        </w:tc>
        <w:tc>
          <w:tcPr>
            <w:tcW w:w="10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gridSpan w:val="2"/>
            <w:shd w:val="clear" w:color="auto" w:fill="CCFFCC"/>
          </w:tcPr>
          <w:p>
            <w:pPr>
              <w:jc w:val="right"/>
              <w:ind w:right="274"/>
              <w:spacing w:after="0"/>
              <w:rPr>
                <w:sz w:val="20"/>
                <w:szCs w:val="20"/>
                <w:color w:val="auto"/>
              </w:rPr>
            </w:pPr>
            <w:r>
              <w:rPr>
                <w:rFonts w:ascii="Arial" w:cs="Arial" w:eastAsia="Arial" w:hAnsi="Arial"/>
                <w:sz w:val="14"/>
                <w:szCs w:val="14"/>
                <w:color w:val="auto"/>
              </w:rPr>
              <w:t>39%</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48%</w:t>
            </w:r>
          </w:p>
        </w:tc>
        <w:tc>
          <w:tcPr>
            <w:tcW w:w="1080" w:type="dxa"/>
            <w:vAlign w:val="bottom"/>
            <w:tcBorders>
              <w:bottom w:val="single" w:sz="8" w:color="CCFFCC"/>
            </w:tcBorders>
            <w:shd w:val="clear" w:color="auto" w:fill="CCFFCC"/>
          </w:tcPr>
          <w:p>
            <w:pPr>
              <w:spacing w:after="0"/>
              <w:rPr>
                <w:sz w:val="18"/>
                <w:szCs w:val="18"/>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348</w:t>
            </w:r>
          </w:p>
        </w:tc>
        <w:tc>
          <w:tcPr>
            <w:tcW w:w="28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475</w:t>
            </w:r>
          </w:p>
        </w:tc>
        <w:tc>
          <w:tcPr>
            <w:tcW w:w="1060" w:type="dxa"/>
            <w:vAlign w:val="bottom"/>
          </w:tcPr>
          <w:p>
            <w:pPr>
              <w:ind w:left="700"/>
              <w:spacing w:after="0"/>
              <w:rPr>
                <w:sz w:val="20"/>
                <w:szCs w:val="20"/>
                <w:color w:val="auto"/>
              </w:rPr>
            </w:pPr>
            <w:r>
              <w:rPr>
                <w:rFonts w:ascii="Arial" w:cs="Arial" w:eastAsia="Arial" w:hAnsi="Arial"/>
                <w:sz w:val="14"/>
                <w:szCs w:val="14"/>
                <w:color w:val="auto"/>
                <w:w w:val="90"/>
              </w:rPr>
              <w:t>(27)%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348</w:t>
            </w:r>
          </w:p>
        </w:tc>
        <w:tc>
          <w:tcPr>
            <w:tcW w:w="44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475</w:t>
            </w: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r>
    </w:tbl>
    <w:p>
      <w:pPr>
        <w:spacing w:after="0" w:line="109"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Sales and marketing - business expenses decreased by 19% to $28.9 million in the three months ended June 30, 2020 from $35.6 million in the comparable period in 2019. This variance was primarily attributable to a decrease in salary, recruitment, and related employee expenses of approximately $4.4 million, a decrease in marketing events, advertising, public relations, and trade show exhibit expenses of approximately $2.3 million, and a decrease in business services and outsourced labor of approximately $1.0 million. This was partially offset by an increase in facilities and allocated overhead expense of approximately $0.7 million, and an increase in depreciation expense of approximately $0.2 million.</w:t>
      </w:r>
    </w:p>
    <w:p>
      <w:pPr>
        <w:spacing w:after="0" w:line="77" w:lineRule="exact"/>
        <w:rPr>
          <w:sz w:val="20"/>
          <w:szCs w:val="20"/>
          <w:color w:val="auto"/>
        </w:rPr>
      </w:pPr>
    </w:p>
    <w:p>
      <w:pPr>
        <w:jc w:val="both"/>
        <w:ind w:right="20" w:firstLine="561"/>
        <w:spacing w:after="0" w:line="248" w:lineRule="auto"/>
        <w:rPr>
          <w:sz w:val="20"/>
          <w:szCs w:val="20"/>
          <w:color w:val="auto"/>
        </w:rPr>
      </w:pPr>
      <w:r>
        <w:rPr>
          <w:rFonts w:ascii="Arial" w:cs="Arial" w:eastAsia="Arial" w:hAnsi="Arial"/>
          <w:sz w:val="16"/>
          <w:szCs w:val="16"/>
          <w:color w:val="auto"/>
        </w:rPr>
        <w:t>Sales and marketing - business expenses increased by 1% to $66.4 million in the six months ended June 30, 2020 from $65.7 million in the comparable period in 2019. This variance was primarily attributable to an increase in facilities and allocated overhead expense of approximately $1.7 million, an increase in salary, recruitment, and related employee expenses of approximately $0.6 million, an increase in business services and outsourced labor of approximately $0.5 million, an increase in depreciation expense of approximately $0.5 million. This was partially offset by a decrease in marketing events, advertising, public relations, and trade show exhibit expenses of approximately $2.7 million.</w:t>
      </w:r>
    </w:p>
    <w:p>
      <w:pPr>
        <w:spacing w:after="0" w:line="35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Sales and Marketing - Consumer</w:t>
      </w:r>
    </w:p>
    <w:p>
      <w:pPr>
        <w:spacing w:after="0" w:line="96"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Our sales and marketing expenses consist of compensation and related expenses for marketing personnel, as well as online promotion, public relations and allocated occupancy costs and related overhead.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598"/>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678"/>
              <w:spacing w:after="0"/>
              <w:rPr>
                <w:sz w:val="20"/>
                <w:szCs w:val="20"/>
                <w:color w:val="auto"/>
              </w:rPr>
            </w:pPr>
            <w:r>
              <w:rPr>
                <w:rFonts w:ascii="Arial" w:cs="Arial" w:eastAsia="Arial" w:hAnsi="Arial"/>
                <w:sz w:val="12"/>
                <w:szCs w:val="12"/>
                <w:b w:val="1"/>
                <w:bCs w:val="1"/>
                <w:color w:val="auto"/>
              </w:rPr>
              <w:t>Six Months Ended June 30,</w:t>
            </w:r>
          </w:p>
        </w:tc>
      </w:tr>
      <w:tr>
        <w:trPr>
          <w:trHeight w:val="225"/>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14"/>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5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Arial" w:cs="Arial" w:eastAsia="Arial" w:hAnsi="Arial"/>
                <w:sz w:val="12"/>
                <w:szCs w:val="12"/>
                <w:b w:val="1"/>
                <w:bCs w:val="1"/>
                <w:color w:val="auto"/>
              </w:rPr>
              <w:t>% Change</w:t>
            </w:r>
          </w:p>
        </w:tc>
        <w:tc>
          <w:tcPr>
            <w:tcW w:w="220" w:type="dxa"/>
            <w:vAlign w:val="bottom"/>
          </w:tcPr>
          <w:p>
            <w:pPr>
              <w:spacing w:after="0"/>
              <w:rPr>
                <w:sz w:val="19"/>
                <w:szCs w:val="19"/>
                <w:color w:val="auto"/>
              </w:rPr>
            </w:pPr>
          </w:p>
        </w:tc>
        <w:tc>
          <w:tcPr>
            <w:tcW w:w="740" w:type="dxa"/>
            <w:vAlign w:val="bottom"/>
          </w:tcPr>
          <w:p>
            <w:pPr>
              <w:jc w:val="right"/>
              <w:ind w:right="314"/>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5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2"/>
                <w:szCs w:val="12"/>
                <w:b w:val="1"/>
                <w:bCs w:val="1"/>
                <w:color w:val="auto"/>
              </w:rPr>
              <w:t>% Change</w:t>
            </w:r>
          </w:p>
        </w:tc>
      </w:tr>
      <w:tr>
        <w:trPr>
          <w:trHeight w:val="225"/>
        </w:trPr>
        <w:tc>
          <w:tcPr>
            <w:tcW w:w="5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4"/>
                <w:szCs w:val="14"/>
                <w:color w:val="auto"/>
              </w:rPr>
              <w:t>Sales and marketing - consumer</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4"/>
              <w:spacing w:after="0"/>
              <w:rPr>
                <w:sz w:val="20"/>
                <w:szCs w:val="20"/>
                <w:color w:val="auto"/>
              </w:rPr>
            </w:pPr>
            <w:r>
              <w:rPr>
                <w:rFonts w:ascii="Arial" w:cs="Arial" w:eastAsia="Arial" w:hAnsi="Arial"/>
                <w:sz w:val="14"/>
                <w:szCs w:val="14"/>
                <w:color w:val="auto"/>
              </w:rPr>
              <w:t>5,692</w:t>
            </w:r>
          </w:p>
        </w:tc>
        <w:tc>
          <w:tcPr>
            <w:tcW w:w="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3,775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10,903</w:t>
            </w:r>
          </w:p>
        </w:tc>
        <w:tc>
          <w:tcPr>
            <w:tcW w:w="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6,719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62%</w:t>
            </w:r>
          </w:p>
        </w:tc>
      </w:tr>
      <w:tr>
        <w:trPr>
          <w:trHeight w:val="28"/>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4"/>
        </w:trPr>
        <w:tc>
          <w:tcPr>
            <w:tcW w:w="52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r>
      <w:tr>
        <w:trPr>
          <w:trHeight w:val="206"/>
        </w:trPr>
        <w:tc>
          <w:tcPr>
            <w:tcW w:w="524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14%</w:t>
            </w:r>
          </w:p>
        </w:tc>
      </w:tr>
    </w:tbl>
    <w:p>
      <w:pPr>
        <w:spacing w:after="0" w:line="10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Sales and marketing - consumer expenses increased by 51% to $5.7 million in the three months ended June 30, 2020 from $3.8 million in the comparable period in 2019.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variance was primarily attributable to increases in advertising and online expenses of approximately $1.9 million.</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Sales and marketing - consumer expenses increased by 62% to $10.9 million in the six months ended June 30, 2020 from $6.7 million in the comparable period in 2019.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variance was primarily attributable to increases in advertising and online expenses of $4.1 million.</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General and Administrative</w:t>
      </w:r>
    </w:p>
    <w:p>
      <w:pPr>
        <w:spacing w:after="0" w:line="96"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Our general and administrative expenses consist of compensation and related expenses for executive, accounting, legal, human resources and administrative personnel, professional fees and other general corporate expenses.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right"/>
              <w:ind w:right="618"/>
              <w:spacing w:after="0"/>
              <w:rPr>
                <w:sz w:val="20"/>
                <w:szCs w:val="20"/>
                <w:color w:val="auto"/>
              </w:rPr>
            </w:pPr>
            <w:r>
              <w:rPr>
                <w:rFonts w:ascii="Arial" w:cs="Arial" w:eastAsia="Arial" w:hAnsi="Arial"/>
                <w:sz w:val="12"/>
                <w:szCs w:val="12"/>
                <w:b w:val="1"/>
                <w:bCs w:val="1"/>
                <w:color w:val="auto"/>
              </w:rPr>
              <w:t>Three Months Ended June 30,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98"/>
              <w:spacing w:after="0"/>
              <w:rPr>
                <w:sz w:val="20"/>
                <w:szCs w:val="20"/>
                <w:color w:val="auto"/>
              </w:rPr>
            </w:pPr>
            <w:r>
              <w:rPr>
                <w:rFonts w:ascii="Arial" w:cs="Arial" w:eastAsia="Arial" w:hAnsi="Arial"/>
                <w:sz w:val="12"/>
                <w:szCs w:val="12"/>
                <w:b w:val="1"/>
                <w:bCs w:val="1"/>
                <w:color w:val="auto"/>
                <w:w w:val="92"/>
              </w:rPr>
              <w:t>Six Months Ended June 30,</w:t>
            </w:r>
          </w:p>
        </w:tc>
      </w:tr>
      <w:tr>
        <w:trPr>
          <w:trHeight w:val="225"/>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14"/>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9"/>
                <w:szCs w:val="19"/>
                <w:color w:val="auto"/>
              </w:rPr>
            </w:pPr>
          </w:p>
        </w:tc>
        <w:tc>
          <w:tcPr>
            <w:tcW w:w="700" w:type="dxa"/>
            <w:vAlign w:val="bottom"/>
          </w:tcPr>
          <w:p>
            <w:pPr>
              <w:jc w:val="right"/>
              <w:ind w:right="27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2"/>
                <w:szCs w:val="12"/>
                <w:b w:val="1"/>
                <w:bCs w:val="1"/>
                <w:color w:val="auto"/>
              </w:rPr>
              <w:t>% Change</w:t>
            </w:r>
          </w:p>
        </w:tc>
        <w:tc>
          <w:tcPr>
            <w:tcW w:w="580" w:type="dxa"/>
            <w:vAlign w:val="bottom"/>
          </w:tcPr>
          <w:p>
            <w:pPr>
              <w:jc w:val="right"/>
              <w:ind w:right="133"/>
              <w:spacing w:after="0"/>
              <w:rPr>
                <w:sz w:val="20"/>
                <w:szCs w:val="20"/>
                <w:color w:val="auto"/>
              </w:rPr>
            </w:pPr>
            <w:r>
              <w:rPr>
                <w:rFonts w:ascii="Arial" w:cs="Arial" w:eastAsia="Arial" w:hAnsi="Arial"/>
                <w:sz w:val="12"/>
                <w:szCs w:val="12"/>
                <w:b w:val="1"/>
                <w:bCs w:val="1"/>
                <w:color w:val="auto"/>
              </w:rPr>
              <w:t>2020</w:t>
            </w:r>
          </w:p>
        </w:tc>
        <w:tc>
          <w:tcPr>
            <w:tcW w:w="440" w:type="dxa"/>
            <w:vAlign w:val="bottom"/>
          </w:tcPr>
          <w:p>
            <w:pPr>
              <w:spacing w:after="0"/>
              <w:rPr>
                <w:sz w:val="19"/>
                <w:szCs w:val="19"/>
                <w:color w:val="auto"/>
              </w:rPr>
            </w:pPr>
          </w:p>
        </w:tc>
        <w:tc>
          <w:tcPr>
            <w:tcW w:w="700" w:type="dxa"/>
            <w:vAlign w:val="bottom"/>
          </w:tcPr>
          <w:p>
            <w:pPr>
              <w:jc w:val="right"/>
              <w:ind w:right="27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9"/>
                <w:szCs w:val="19"/>
                <w:color w:val="auto"/>
              </w:rPr>
            </w:pPr>
          </w:p>
        </w:tc>
        <w:tc>
          <w:tcPr>
            <w:tcW w:w="980" w:type="dxa"/>
            <w:vAlign w:val="bottom"/>
          </w:tcPr>
          <w:p>
            <w:pPr>
              <w:jc w:val="right"/>
              <w:ind w:right="138"/>
              <w:spacing w:after="0"/>
              <w:rPr>
                <w:sz w:val="20"/>
                <w:szCs w:val="20"/>
                <w:color w:val="auto"/>
              </w:rPr>
            </w:pPr>
            <w:r>
              <w:rPr>
                <w:rFonts w:ascii="Arial" w:cs="Arial" w:eastAsia="Arial" w:hAnsi="Arial"/>
                <w:sz w:val="12"/>
                <w:szCs w:val="12"/>
                <w:b w:val="1"/>
                <w:bCs w:val="1"/>
                <w:color w:val="auto"/>
              </w:rPr>
              <w:t>% Change</w:t>
            </w:r>
          </w:p>
        </w:tc>
      </w:tr>
      <w:tr>
        <w:trPr>
          <w:trHeight w:val="225"/>
        </w:trPr>
        <w:tc>
          <w:tcPr>
            <w:tcW w:w="5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72"/>
              <w:spacing w:after="0"/>
              <w:rPr>
                <w:sz w:val="20"/>
                <w:szCs w:val="20"/>
                <w:color w:val="auto"/>
              </w:rPr>
            </w:pPr>
            <w:r>
              <w:rPr>
                <w:rFonts w:ascii="Arial" w:cs="Arial" w:eastAsia="Arial" w:hAnsi="Arial"/>
                <w:sz w:val="12"/>
                <w:szCs w:val="12"/>
                <w:b w:val="1"/>
                <w:bCs w:val="1"/>
                <w:color w:val="auto"/>
              </w:rPr>
              <w:t>($ in thousands)</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 in thousands)</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16,353</w:t>
            </w:r>
          </w:p>
        </w:tc>
        <w:tc>
          <w:tcPr>
            <w:tcW w:w="2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13,763</w:t>
            </w:r>
          </w:p>
        </w:tc>
        <w:tc>
          <w:tcPr>
            <w:tcW w:w="1380" w:type="dxa"/>
            <w:vAlign w:val="bottom"/>
            <w:gridSpan w:val="4"/>
          </w:tcPr>
          <w:p>
            <w:pPr>
              <w:jc w:val="right"/>
              <w:ind w:right="120"/>
              <w:spacing w:after="0"/>
              <w:rPr>
                <w:sz w:val="20"/>
                <w:szCs w:val="20"/>
                <w:color w:val="auto"/>
              </w:rPr>
            </w:pPr>
            <w:r>
              <w:rPr>
                <w:rFonts w:ascii="Arial" w:cs="Arial" w:eastAsia="Arial" w:hAnsi="Arial"/>
                <w:sz w:val="14"/>
                <w:szCs w:val="14"/>
                <w:color w:val="auto"/>
              </w:rPr>
              <w:t>19%  $</w:t>
            </w:r>
          </w:p>
        </w:tc>
        <w:tc>
          <w:tcPr>
            <w:tcW w:w="580" w:type="dxa"/>
            <w:vAlign w:val="bottom"/>
          </w:tcPr>
          <w:p>
            <w:pPr>
              <w:jc w:val="right"/>
              <w:spacing w:after="0"/>
              <w:rPr>
                <w:sz w:val="20"/>
                <w:szCs w:val="20"/>
                <w:color w:val="auto"/>
              </w:rPr>
            </w:pPr>
            <w:r>
              <w:rPr>
                <w:rFonts w:ascii="Arial" w:cs="Arial" w:eastAsia="Arial" w:hAnsi="Arial"/>
                <w:sz w:val="14"/>
                <w:szCs w:val="14"/>
                <w:color w:val="auto"/>
              </w:rPr>
              <w:t>32,822</w:t>
            </w:r>
          </w:p>
        </w:tc>
        <w:tc>
          <w:tcPr>
            <w:tcW w:w="44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27,930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18 %</w:t>
            </w:r>
          </w:p>
        </w:tc>
      </w:tr>
      <w:tr>
        <w:trPr>
          <w:trHeight w:val="28"/>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4"/>
        </w:trPr>
        <w:tc>
          <w:tcPr>
            <w:tcW w:w="5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18%</w:t>
            </w:r>
          </w:p>
        </w:tc>
        <w:tc>
          <w:tcPr>
            <w:tcW w:w="28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CCFFCC"/>
            </w:tcBorders>
            <w:gridSpan w:val="2"/>
            <w:shd w:val="clear" w:color="auto" w:fill="CCFFCC"/>
          </w:tcPr>
          <w:p>
            <w:pPr>
              <w:jc w:val="right"/>
              <w:ind w:right="274"/>
              <w:spacing w:after="0"/>
              <w:rPr>
                <w:sz w:val="20"/>
                <w:szCs w:val="20"/>
                <w:color w:val="auto"/>
              </w:rPr>
            </w:pPr>
            <w:r>
              <w:rPr>
                <w:rFonts w:ascii="Arial" w:cs="Arial" w:eastAsia="Arial" w:hAnsi="Arial"/>
                <w:sz w:val="14"/>
                <w:szCs w:val="14"/>
                <w:color w:val="auto"/>
              </w:rPr>
              <w:t>19%</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FFCC"/>
            </w:tcBorders>
            <w:shd w:val="clear" w:color="auto" w:fill="CCFFCC"/>
          </w:tcPr>
          <w:p>
            <w:pPr>
              <w:spacing w:after="0"/>
              <w:rPr>
                <w:sz w:val="18"/>
                <w:szCs w:val="18"/>
                <w:color w:val="auto"/>
              </w:rPr>
            </w:pPr>
          </w:p>
        </w:tc>
        <w:tc>
          <w:tcPr>
            <w:tcW w:w="980" w:type="dxa"/>
            <w:vAlign w:val="bottom"/>
            <w:tcBorders>
              <w:bottom w:val="single" w:sz="8" w:color="CCFFCC"/>
            </w:tcBorders>
            <w:shd w:val="clear" w:color="auto" w:fill="CCFFCC"/>
          </w:tcPr>
          <w:p>
            <w:pPr>
              <w:spacing w:after="0"/>
              <w:rPr>
                <w:sz w:val="18"/>
                <w:szCs w:val="18"/>
                <w:color w:val="auto"/>
              </w:rPr>
            </w:pPr>
          </w:p>
        </w:tc>
      </w:tr>
      <w:tr>
        <w:trPr>
          <w:trHeight w:val="206"/>
        </w:trPr>
        <w:tc>
          <w:tcPr>
            <w:tcW w:w="514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139</w:t>
            </w:r>
          </w:p>
        </w:tc>
        <w:tc>
          <w:tcPr>
            <w:tcW w:w="28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151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139</w:t>
            </w:r>
          </w:p>
        </w:tc>
        <w:tc>
          <w:tcPr>
            <w:tcW w:w="44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151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60"/>
          </w:cols>
          <w:pgMar w:left="320" w:top="501" w:right="319" w:bottom="1440" w:gutter="0" w:footer="0" w:header="0"/>
        </w:sectPr>
      </w:pPr>
    </w:p>
    <w:bookmarkStart w:id="49" w:name="page50"/>
    <w:bookmarkEnd w:id="49"/>
    <w:p>
      <w:pPr>
        <w:jc w:val="both"/>
        <w:ind w:firstLine="561"/>
        <w:spacing w:after="0" w:line="253" w:lineRule="auto"/>
        <w:rPr>
          <w:sz w:val="20"/>
          <w:szCs w:val="20"/>
          <w:color w:val="auto"/>
        </w:rPr>
      </w:pPr>
      <w:r>
        <w:rPr>
          <w:rFonts w:ascii="Arial" w:cs="Arial" w:eastAsia="Arial" w:hAnsi="Arial"/>
          <w:sz w:val="16"/>
          <w:szCs w:val="16"/>
          <w:color w:val="auto"/>
        </w:rPr>
        <w:t>General and administrative expenses increased by 19% to $16.4 million in the three months ended June 30, 2020 from $13.8 million in the comparable period in 2019. This variance was primarily attributable to an increase in allocated occupancy costs, related overhead, information technology of approximately $1.6 million, and an increase in salaries and employee related expenses of approximately $1.0 million.</w:t>
      </w:r>
    </w:p>
    <w:p>
      <w:pPr>
        <w:spacing w:after="0" w:line="72" w:lineRule="exact"/>
        <w:rPr>
          <w:sz w:val="20"/>
          <w:szCs w:val="20"/>
          <w:color w:val="auto"/>
        </w:rPr>
      </w:pPr>
    </w:p>
    <w:p>
      <w:pPr>
        <w:jc w:val="both"/>
        <w:ind w:firstLine="561"/>
        <w:spacing w:after="0" w:line="306" w:lineRule="auto"/>
        <w:rPr>
          <w:sz w:val="20"/>
          <w:szCs w:val="20"/>
          <w:color w:val="auto"/>
        </w:rPr>
      </w:pPr>
      <w:r>
        <w:rPr>
          <w:rFonts w:ascii="Arial" w:cs="Arial" w:eastAsia="Arial" w:hAnsi="Arial"/>
          <w:sz w:val="14"/>
          <w:szCs w:val="14"/>
          <w:color w:val="auto"/>
        </w:rPr>
        <w:t>General and administrative expenses increased by 18% to $32.8 million in the six months ended June 30, 2020 from $27.9 million in the comparable period in 2019. This variance was primarily attributable to an increase in allocated occupancy costs, related overhead, information technology of approximately $2.7 million, and increase in salaries and employee related expenses of approximately $2.5 million. This was partially offset by a decrease in depreciation expense of approximately $0.3 million.</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Product Development</w:t>
      </w:r>
    </w:p>
    <w:p>
      <w:pPr>
        <w:spacing w:after="0" w:line="96" w:lineRule="exact"/>
        <w:rPr>
          <w:sz w:val="20"/>
          <w:szCs w:val="20"/>
          <w:color w:val="auto"/>
        </w:rPr>
      </w:pPr>
    </w:p>
    <w:p>
      <w:pPr>
        <w:jc w:val="both"/>
        <w:ind w:right="20" w:firstLine="561"/>
        <w:spacing w:after="0" w:line="263" w:lineRule="auto"/>
        <w:rPr>
          <w:sz w:val="20"/>
          <w:szCs w:val="20"/>
          <w:color w:val="auto"/>
        </w:rPr>
      </w:pPr>
      <w:r>
        <w:rPr>
          <w:rFonts w:ascii="Arial" w:cs="Arial" w:eastAsia="Arial" w:hAnsi="Arial"/>
          <w:sz w:val="16"/>
          <w:szCs w:val="16"/>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598"/>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678"/>
              <w:spacing w:after="0"/>
              <w:rPr>
                <w:sz w:val="20"/>
                <w:szCs w:val="20"/>
                <w:color w:val="auto"/>
              </w:rPr>
            </w:pPr>
            <w:r>
              <w:rPr>
                <w:rFonts w:ascii="Arial" w:cs="Arial" w:eastAsia="Arial" w:hAnsi="Arial"/>
                <w:sz w:val="12"/>
                <w:szCs w:val="12"/>
                <w:b w:val="1"/>
                <w:bCs w:val="1"/>
                <w:color w:val="auto"/>
              </w:rPr>
              <w:t>Six Months Ended June 30,</w:t>
            </w:r>
          </w:p>
        </w:tc>
      </w:tr>
      <w:tr>
        <w:trPr>
          <w:trHeight w:val="225"/>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14"/>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5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Arial" w:cs="Arial" w:eastAsia="Arial" w:hAnsi="Arial"/>
                <w:sz w:val="12"/>
                <w:szCs w:val="12"/>
                <w:b w:val="1"/>
                <w:bCs w:val="1"/>
                <w:color w:val="auto"/>
              </w:rPr>
              <w:t>% Change</w:t>
            </w:r>
          </w:p>
        </w:tc>
        <w:tc>
          <w:tcPr>
            <w:tcW w:w="220" w:type="dxa"/>
            <w:vAlign w:val="bottom"/>
          </w:tcPr>
          <w:p>
            <w:pPr>
              <w:spacing w:after="0"/>
              <w:rPr>
                <w:sz w:val="19"/>
                <w:szCs w:val="19"/>
                <w:color w:val="auto"/>
              </w:rPr>
            </w:pPr>
          </w:p>
        </w:tc>
        <w:tc>
          <w:tcPr>
            <w:tcW w:w="740" w:type="dxa"/>
            <w:vAlign w:val="bottom"/>
          </w:tcPr>
          <w:p>
            <w:pPr>
              <w:jc w:val="right"/>
              <w:ind w:right="314"/>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5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2"/>
                <w:szCs w:val="12"/>
                <w:b w:val="1"/>
                <w:bCs w:val="1"/>
                <w:color w:val="auto"/>
              </w:rPr>
              <w:t>% Change</w:t>
            </w:r>
          </w:p>
        </w:tc>
      </w:tr>
      <w:tr>
        <w:trPr>
          <w:trHeight w:val="225"/>
        </w:trPr>
        <w:tc>
          <w:tcPr>
            <w:tcW w:w="5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4"/>
              <w:spacing w:after="0"/>
              <w:rPr>
                <w:sz w:val="20"/>
                <w:szCs w:val="20"/>
                <w:color w:val="auto"/>
              </w:rPr>
            </w:pPr>
            <w:r>
              <w:rPr>
                <w:rFonts w:ascii="Arial" w:cs="Arial" w:eastAsia="Arial" w:hAnsi="Arial"/>
                <w:sz w:val="14"/>
                <w:szCs w:val="14"/>
                <w:color w:val="auto"/>
              </w:rPr>
              <w:t>26,967</w:t>
            </w:r>
          </w:p>
        </w:tc>
        <w:tc>
          <w:tcPr>
            <w:tcW w:w="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20,182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52,681</w:t>
            </w:r>
          </w:p>
        </w:tc>
        <w:tc>
          <w:tcPr>
            <w:tcW w:w="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38,355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37%</w:t>
            </w:r>
          </w:p>
        </w:tc>
      </w:tr>
      <w:tr>
        <w:trPr>
          <w:trHeight w:val="28"/>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4"/>
        </w:trPr>
        <w:tc>
          <w:tcPr>
            <w:tcW w:w="52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22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4"/>
                <w:szCs w:val="14"/>
                <w:color w:val="auto"/>
              </w:rPr>
              <w:t>29%</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4"/>
                <w:szCs w:val="14"/>
                <w:color w:val="auto"/>
              </w:rPr>
              <w:t>31%</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r>
      <w:tr>
        <w:trPr>
          <w:trHeight w:val="206"/>
        </w:trPr>
        <w:tc>
          <w:tcPr>
            <w:tcW w:w="5240" w:type="dxa"/>
            <w:vAlign w:val="bottom"/>
          </w:tcPr>
          <w:p>
            <w:pPr>
              <w:ind w:left="20"/>
              <w:spacing w:after="0"/>
              <w:rPr>
                <w:sz w:val="20"/>
                <w:szCs w:val="20"/>
                <w:color w:val="auto"/>
              </w:rPr>
            </w:pPr>
            <w:r>
              <w:rPr>
                <w:rFonts w:ascii="Arial" w:cs="Arial" w:eastAsia="Arial" w:hAnsi="Arial"/>
                <w:sz w:val="14"/>
                <w:szCs w:val="14"/>
                <w:color w:val="auto"/>
              </w:rPr>
              <w:t>Headcount (at period end):</w:t>
            </w:r>
          </w:p>
        </w:tc>
        <w:tc>
          <w:tcPr>
            <w:tcW w:w="2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color w:val="auto"/>
              </w:rPr>
              <w:t>459</w:t>
            </w:r>
          </w:p>
        </w:tc>
        <w:tc>
          <w:tcPr>
            <w:tcW w:w="26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418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color w:val="auto"/>
              </w:rPr>
              <w:t>459</w:t>
            </w:r>
          </w:p>
        </w:tc>
        <w:tc>
          <w:tcPr>
            <w:tcW w:w="26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418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w:t>
            </w:r>
          </w:p>
        </w:tc>
      </w:tr>
    </w:tbl>
    <w:p>
      <w:pPr>
        <w:spacing w:after="0" w:line="109" w:lineRule="exact"/>
        <w:rPr>
          <w:sz w:val="20"/>
          <w:szCs w:val="20"/>
          <w:color w:val="auto"/>
        </w:rPr>
      </w:pPr>
    </w:p>
    <w:p>
      <w:pPr>
        <w:jc w:val="both"/>
        <w:ind w:right="20" w:firstLine="561"/>
        <w:spacing w:after="0" w:line="250" w:lineRule="auto"/>
        <w:rPr>
          <w:sz w:val="20"/>
          <w:szCs w:val="20"/>
          <w:color w:val="auto"/>
        </w:rPr>
      </w:pPr>
      <w:r>
        <w:rPr>
          <w:rFonts w:ascii="Arial" w:cs="Arial" w:eastAsia="Arial" w:hAnsi="Arial"/>
          <w:sz w:val="16"/>
          <w:szCs w:val="16"/>
          <w:color w:val="auto"/>
        </w:rPr>
        <w:t>Product development costs increased by 34% to $27.0 million in the three months ended June 30, 2020 from $20.2 million in the comparable period in 2019. This variance was primarily attributable to increases in total compensation, recruiting expense and associated costs for product development personnel of approximately $2.6 million, in outsourcing and business services of approximately $2.4 million, and in depreciation expense and backup server facilities and allocated overhead related to costs of supporting our server and network infrastructure of approximately $1.8 million.</w:t>
      </w:r>
    </w:p>
    <w:p>
      <w:pPr>
        <w:spacing w:after="0" w:line="74" w:lineRule="exact"/>
        <w:rPr>
          <w:sz w:val="20"/>
          <w:szCs w:val="20"/>
          <w:color w:val="auto"/>
        </w:rPr>
      </w:pPr>
    </w:p>
    <w:p>
      <w:pPr>
        <w:jc w:val="both"/>
        <w:ind w:right="20" w:firstLine="561"/>
        <w:spacing w:after="0" w:line="250" w:lineRule="auto"/>
        <w:rPr>
          <w:sz w:val="20"/>
          <w:szCs w:val="20"/>
          <w:color w:val="auto"/>
        </w:rPr>
      </w:pPr>
      <w:r>
        <w:rPr>
          <w:rFonts w:ascii="Arial" w:cs="Arial" w:eastAsia="Arial" w:hAnsi="Arial"/>
          <w:sz w:val="16"/>
          <w:szCs w:val="16"/>
          <w:color w:val="auto"/>
        </w:rPr>
        <w:t>Product development costs increased by 37% to $52.7 million in the six months ended June 30, 2020 from $38.4 million in the comparable period in 2019. This variance was primarily attributable to increases in total compensation, recruiting expense and associated costs for product development personnel of approximately $7.2 million, in depreciation expense and backup server facilities and allocated overhead related to costs of supporting our server and network infrastructure of approximately $3.9 million, and in outsourcing and business services of approximately $3.2 million.</w:t>
      </w:r>
    </w:p>
    <w:p>
      <w:pPr>
        <w:spacing w:after="0" w:line="74"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We continue to invest in new product development efforts to expand the capability of LiveEngage. In accordance with ASC 350-40 - "Internal- Use Software," as new projects are initiated that provide functionality to the LiveEngage platform, the associated development and employee costs will be capitalized. Upon completion, the project costs will be depreciated over five years. In the three and six months ended June 30, 2020, $9.4 million and $17.6 million was capitalized, respectively, compared to $7.2 million and $12.6 million, respectively, in the comparable periods in 2019.</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Restructuring Costs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Restructuring costs consist of reprioritizing and reallocating resources to focus on areas showing high growth potential.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678"/>
              <w:spacing w:after="0"/>
              <w:rPr>
                <w:sz w:val="20"/>
                <w:szCs w:val="20"/>
                <w:color w:val="auto"/>
              </w:rPr>
            </w:pPr>
            <w:r>
              <w:rPr>
                <w:rFonts w:ascii="Arial" w:cs="Arial" w:eastAsia="Arial" w:hAnsi="Arial"/>
                <w:sz w:val="12"/>
                <w:szCs w:val="12"/>
                <w:b w:val="1"/>
                <w:bCs w:val="1"/>
                <w:color w:val="auto"/>
              </w:rPr>
              <w:t>Six Months Ended June 30,</w:t>
            </w:r>
          </w:p>
        </w:tc>
      </w:tr>
      <w:tr>
        <w:trPr>
          <w:trHeight w:val="225"/>
        </w:trPr>
        <w:tc>
          <w:tcPr>
            <w:tcW w:w="5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27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9"/>
                <w:szCs w:val="19"/>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2"/>
                <w:szCs w:val="12"/>
                <w:b w:val="1"/>
                <w:bCs w:val="1"/>
                <w:color w:val="auto"/>
              </w:rPr>
              <w:t>% Change</w:t>
            </w:r>
          </w:p>
        </w:tc>
        <w:tc>
          <w:tcPr>
            <w:tcW w:w="740" w:type="dxa"/>
            <w:vAlign w:val="bottom"/>
          </w:tcPr>
          <w:p>
            <w:pPr>
              <w:jc w:val="right"/>
              <w:ind w:right="315"/>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5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2"/>
                <w:szCs w:val="12"/>
                <w:b w:val="1"/>
                <w:bCs w:val="1"/>
                <w:color w:val="auto"/>
              </w:rPr>
              <w:t>% Change</w:t>
            </w:r>
          </w:p>
        </w:tc>
      </w:tr>
      <w:tr>
        <w:trPr>
          <w:trHeight w:val="225"/>
        </w:trPr>
        <w:tc>
          <w:tcPr>
            <w:tcW w:w="5200" w:type="dxa"/>
            <w:vAlign w:val="bottom"/>
          </w:tcPr>
          <w:p>
            <w:pPr>
              <w:spacing w:after="0"/>
              <w:rPr>
                <w:sz w:val="19"/>
                <w:szCs w:val="19"/>
                <w:color w:val="auto"/>
              </w:rPr>
            </w:pPr>
          </w:p>
        </w:tc>
        <w:tc>
          <w:tcPr>
            <w:tcW w:w="1920" w:type="dxa"/>
            <w:vAlign w:val="bottom"/>
            <w:tcBorders>
              <w:top w:val="single" w:sz="8" w:color="auto"/>
              <w:bottom w:val="single" w:sz="8" w:color="auto"/>
            </w:tcBorders>
            <w:gridSpan w:val="4"/>
          </w:tcPr>
          <w:p>
            <w:pPr>
              <w:jc w:val="right"/>
              <w:ind w:right="453"/>
              <w:spacing w:after="0"/>
              <w:rPr>
                <w:sz w:val="20"/>
                <w:szCs w:val="20"/>
                <w:color w:val="auto"/>
              </w:rPr>
            </w:pPr>
            <w:r>
              <w:rPr>
                <w:rFonts w:ascii="Arial" w:cs="Arial" w:eastAsia="Arial" w:hAnsi="Arial"/>
                <w:sz w:val="12"/>
                <w:szCs w:val="12"/>
                <w:b w:val="1"/>
                <w:bCs w:val="1"/>
                <w:color w:val="auto"/>
              </w:rPr>
              <w:t>($ in thousands)</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453"/>
              <w:spacing w:after="0"/>
              <w:rPr>
                <w:sz w:val="20"/>
                <w:szCs w:val="20"/>
                <w:color w:val="auto"/>
              </w:rPr>
            </w:pPr>
            <w:r>
              <w:rPr>
                <w:rFonts w:ascii="Arial" w:cs="Arial" w:eastAsia="Arial" w:hAnsi="Arial"/>
                <w:sz w:val="12"/>
                <w:szCs w:val="12"/>
                <w:b w:val="1"/>
                <w:bCs w:val="1"/>
                <w:color w:val="auto"/>
              </w:rPr>
              <w:t>($ in thousands)</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03"/>
        </w:trPr>
        <w:tc>
          <w:tcPr>
            <w:tcW w:w="520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600" w:type="dxa"/>
            <w:vAlign w:val="bottom"/>
          </w:tcPr>
          <w:p>
            <w:pPr>
              <w:jc w:val="right"/>
              <w:ind w:right="455"/>
              <w:spacing w:after="0"/>
              <w:rPr>
                <w:sz w:val="20"/>
                <w:szCs w:val="20"/>
                <w:color w:val="auto"/>
              </w:rPr>
            </w:pPr>
            <w:r>
              <w:rPr>
                <w:rFonts w:ascii="Arial" w:cs="Arial" w:eastAsia="Arial" w:hAnsi="Arial"/>
                <w:sz w:val="14"/>
                <w:szCs w:val="14"/>
                <w:color w:val="auto"/>
                <w:w w:val="76"/>
              </w:rPr>
              <w:t>$</w:t>
            </w: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205</w:t>
            </w:r>
          </w:p>
        </w:tc>
        <w:tc>
          <w:tcPr>
            <w:tcW w:w="1400" w:type="dxa"/>
            <w:vAlign w:val="bottom"/>
            <w:gridSpan w:val="4"/>
          </w:tcPr>
          <w:p>
            <w:pPr>
              <w:jc w:val="right"/>
              <w:ind w:right="120"/>
              <w:spacing w:after="0"/>
              <w:rPr>
                <w:sz w:val="20"/>
                <w:szCs w:val="20"/>
                <w:color w:val="auto"/>
              </w:rPr>
            </w:pPr>
            <w:r>
              <w:rPr>
                <w:rFonts w:ascii="Arial" w:cs="Arial" w:eastAsia="Arial" w:hAnsi="Arial"/>
                <w:sz w:val="14"/>
                <w:szCs w:val="14"/>
                <w:color w:val="auto"/>
              </w:rPr>
              <w:t>(100)%  $</w:t>
            </w:r>
          </w:p>
        </w:tc>
        <w:tc>
          <w:tcPr>
            <w:tcW w:w="740" w:type="dxa"/>
            <w:vAlign w:val="bottom"/>
          </w:tcPr>
          <w:p>
            <w:pPr>
              <w:jc w:val="right"/>
              <w:ind w:right="115"/>
              <w:spacing w:after="0"/>
              <w:rPr>
                <w:sz w:val="20"/>
                <w:szCs w:val="20"/>
                <w:color w:val="auto"/>
              </w:rPr>
            </w:pPr>
            <w:r>
              <w:rPr>
                <w:rFonts w:ascii="Arial" w:cs="Arial" w:eastAsia="Arial" w:hAnsi="Arial"/>
                <w:sz w:val="14"/>
                <w:szCs w:val="14"/>
                <w:color w:val="auto"/>
              </w:rPr>
              <w:t>3,193</w:t>
            </w:r>
          </w:p>
        </w:tc>
        <w:tc>
          <w:tcPr>
            <w:tcW w:w="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484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560%</w:t>
            </w:r>
          </w:p>
        </w:tc>
      </w:tr>
      <w:tr>
        <w:trPr>
          <w:trHeight w:val="28"/>
        </w:trPr>
        <w:tc>
          <w:tcPr>
            <w:tcW w:w="5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6"/>
        </w:trPr>
        <w:tc>
          <w:tcPr>
            <w:tcW w:w="5200" w:type="dxa"/>
            <w:vAlign w:val="bottom"/>
            <w:shd w:val="clear" w:color="auto" w:fill="CCFFCC"/>
          </w:tcPr>
          <w:p>
            <w:pPr>
              <w:ind w:left="20"/>
              <w:spacing w:after="0"/>
              <w:rPr>
                <w:sz w:val="20"/>
                <w:szCs w:val="20"/>
                <w:color w:val="auto"/>
              </w:rPr>
            </w:pPr>
            <w:r>
              <w:rPr>
                <w:rFonts w:ascii="Arial" w:cs="Arial" w:eastAsia="Arial" w:hAnsi="Arial"/>
                <w:sz w:val="14"/>
                <w:szCs w:val="14"/>
                <w:color w:val="auto"/>
              </w:rPr>
              <w:t>Percentage of total revenue</w:t>
            </w:r>
          </w:p>
        </w:tc>
        <w:tc>
          <w:tcPr>
            <w:tcW w:w="600" w:type="dxa"/>
            <w:vAlign w:val="bottom"/>
            <w:shd w:val="clear" w:color="auto" w:fill="CCFFCC"/>
          </w:tcPr>
          <w:p>
            <w:pPr>
              <w:spacing w:after="0"/>
              <w:rPr>
                <w:sz w:val="17"/>
                <w:szCs w:val="17"/>
                <w:color w:val="auto"/>
              </w:rPr>
            </w:pPr>
          </w:p>
        </w:tc>
        <w:tc>
          <w:tcPr>
            <w:tcW w:w="36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40" w:type="dxa"/>
            <w:vAlign w:val="bottom"/>
            <w:shd w:val="clear" w:color="auto" w:fill="CCFFCC"/>
          </w:tcPr>
          <w:p>
            <w:pPr>
              <w:jc w:val="right"/>
              <w:ind w:right="15"/>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r>
      <w:tr>
        <w:trPr>
          <w:trHeight w:val="28"/>
        </w:trPr>
        <w:tc>
          <w:tcPr>
            <w:tcW w:w="5200" w:type="dxa"/>
            <w:vAlign w:val="bottom"/>
            <w:shd w:val="clear" w:color="auto" w:fill="CCFFCC"/>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r>
    </w:tbl>
    <w:p>
      <w:pPr>
        <w:spacing w:after="0" w:line="81" w:lineRule="exact"/>
        <w:rPr>
          <w:sz w:val="20"/>
          <w:szCs w:val="20"/>
          <w:color w:val="auto"/>
        </w:rPr>
      </w:pPr>
    </w:p>
    <w:p>
      <w:pPr>
        <w:jc w:val="both"/>
        <w:ind w:firstLine="561"/>
        <w:spacing w:after="0" w:line="306" w:lineRule="auto"/>
        <w:rPr>
          <w:sz w:val="20"/>
          <w:szCs w:val="20"/>
          <w:color w:val="auto"/>
        </w:rPr>
      </w:pPr>
      <w:r>
        <w:rPr>
          <w:rFonts w:ascii="Arial" w:cs="Arial" w:eastAsia="Arial" w:hAnsi="Arial"/>
          <w:sz w:val="14"/>
          <w:szCs w:val="14"/>
          <w:color w:val="auto"/>
        </w:rPr>
        <w:t>Restructuring costs decreased by 100% during the three months ended June 30, 2020 from $0.2 million in the comparable period in 2019, and increased by 560% to approximately $3.2 million during the six months ended June 30, 2020, from $0.5 million in the comparable period in 2019. This variance was primarily attributable to a decrease in severance and other associated costs. Severance costs are associated with re-prioritizing and reallocating resources to focus on areas showing high growth potential.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60"/>
          </w:cols>
          <w:pgMar w:left="320" w:top="501" w:right="319" w:bottom="1440" w:gutter="0" w:footer="0" w:header="0"/>
        </w:sectPr>
      </w:pPr>
    </w:p>
    <w:bookmarkStart w:id="50" w:name="page51"/>
    <w:bookmarkEnd w:id="50"/>
    <w:p>
      <w:pPr>
        <w:ind w:left="560"/>
        <w:spacing w:after="0"/>
        <w:rPr>
          <w:sz w:val="20"/>
          <w:szCs w:val="20"/>
          <w:color w:val="auto"/>
        </w:rPr>
      </w:pPr>
      <w:r>
        <w:rPr>
          <w:rFonts w:ascii="Arial" w:cs="Arial" w:eastAsia="Arial" w:hAnsi="Arial"/>
          <w:sz w:val="16"/>
          <w:szCs w:val="16"/>
          <w:i w:val="1"/>
          <w:iCs w:val="1"/>
          <w:color w:val="auto"/>
        </w:rPr>
        <w:t>Amortization of Purchased Intangibles</w:t>
      </w:r>
    </w:p>
    <w:p>
      <w:pPr>
        <w:spacing w:after="0" w:line="241" w:lineRule="exact"/>
        <w:rPr>
          <w:sz w:val="20"/>
          <w:szCs w:val="20"/>
          <w:color w:val="auto"/>
        </w:rPr>
      </w:pPr>
    </w:p>
    <w:tbl>
      <w:tblPr>
        <w:tblLayout w:type="fixed"/>
        <w:tblInd w:w="480" w:type="dxa"/>
        <w:tblCellMar>
          <w:top w:w="0" w:type="dxa"/>
          <w:left w:w="0" w:type="dxa"/>
          <w:bottom w:w="0" w:type="dxa"/>
          <w:right w:w="0" w:type="dxa"/>
        </w:tblCellMar>
      </w:tblPr>
      <w:tr>
        <w:trPr>
          <w:trHeight w:val="166"/>
        </w:trPr>
        <w:tc>
          <w:tcPr>
            <w:tcW w:w="4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w w:val="92"/>
              </w:rPr>
              <w:t>Six Months Ended June 30,</w:t>
            </w:r>
          </w:p>
        </w:tc>
        <w:tc>
          <w:tcPr>
            <w:tcW w:w="780" w:type="dxa"/>
            <w:vAlign w:val="bottom"/>
            <w:tcBorders>
              <w:bottom w:val="single" w:sz="8" w:color="auto"/>
            </w:tcBorders>
          </w:tcPr>
          <w:p>
            <w:pPr>
              <w:spacing w:after="0"/>
              <w:rPr>
                <w:sz w:val="14"/>
                <w:szCs w:val="14"/>
                <w:color w:val="auto"/>
              </w:rPr>
            </w:pPr>
          </w:p>
        </w:tc>
      </w:tr>
      <w:tr>
        <w:trPr>
          <w:trHeight w:val="225"/>
        </w:trPr>
        <w:tc>
          <w:tcPr>
            <w:tcW w:w="4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9"/>
                <w:szCs w:val="19"/>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w w:val="93"/>
              </w:rPr>
              <w:t>% Change</w:t>
            </w:r>
          </w:p>
        </w:tc>
      </w:tr>
      <w:tr>
        <w:trPr>
          <w:trHeight w:val="225"/>
        </w:trPr>
        <w:tc>
          <w:tcPr>
            <w:tcW w:w="41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b w:val="1"/>
                <w:bCs w:val="1"/>
                <w:color w:val="auto"/>
              </w:rPr>
              <w:t>($ in thousands)</w:t>
            </w:r>
          </w:p>
        </w:tc>
        <w:tc>
          <w:tcPr>
            <w:tcW w:w="100" w:type="dxa"/>
            <w:vAlign w:val="bottom"/>
            <w:tcBorders>
              <w:bottom w:val="single" w:sz="8" w:color="CCFFCC"/>
            </w:tcBorders>
          </w:tcPr>
          <w:p>
            <w:pPr>
              <w:spacing w:after="0"/>
              <w:rPr>
                <w:sz w:val="19"/>
                <w:szCs w:val="19"/>
                <w:color w:val="auto"/>
              </w:rPr>
            </w:pPr>
          </w:p>
        </w:tc>
        <w:tc>
          <w:tcPr>
            <w:tcW w:w="98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340"/>
              <w:spacing w:after="0"/>
              <w:rPr>
                <w:sz w:val="20"/>
                <w:szCs w:val="20"/>
                <w:color w:val="auto"/>
              </w:rPr>
            </w:pPr>
            <w:r>
              <w:rPr>
                <w:rFonts w:ascii="Arial" w:cs="Arial" w:eastAsia="Arial" w:hAnsi="Arial"/>
                <w:sz w:val="12"/>
                <w:szCs w:val="12"/>
                <w:b w:val="1"/>
                <w:bCs w:val="1"/>
                <w:color w:val="auto"/>
              </w:rPr>
              <w:t>($ in thousands)</w:t>
            </w:r>
          </w:p>
        </w:tc>
        <w:tc>
          <w:tcPr>
            <w:tcW w:w="300" w:type="dxa"/>
            <w:vAlign w:val="bottom"/>
            <w:tcBorders>
              <w:bottom w:val="single" w:sz="8" w:color="CCFFCC"/>
            </w:tcBorders>
            <w:gridSpan w:val="2"/>
          </w:tcPr>
          <w:p>
            <w:pPr>
              <w:spacing w:after="0"/>
              <w:rPr>
                <w:sz w:val="19"/>
                <w:szCs w:val="19"/>
                <w:color w:val="auto"/>
              </w:rPr>
            </w:pPr>
          </w:p>
        </w:tc>
        <w:tc>
          <w:tcPr>
            <w:tcW w:w="780" w:type="dxa"/>
            <w:vAlign w:val="bottom"/>
            <w:tcBorders>
              <w:bottom w:val="single" w:sz="8" w:color="CCFFCC"/>
            </w:tcBorders>
          </w:tcPr>
          <w:p>
            <w:pPr>
              <w:spacing w:after="0"/>
              <w:rPr>
                <w:sz w:val="19"/>
                <w:szCs w:val="19"/>
                <w:color w:val="auto"/>
              </w:rPr>
            </w:pPr>
          </w:p>
        </w:tc>
      </w:tr>
      <w:tr>
        <w:trPr>
          <w:trHeight w:val="211"/>
        </w:trPr>
        <w:tc>
          <w:tcPr>
            <w:tcW w:w="41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Amortization of purchased intangibles</w:t>
            </w:r>
          </w:p>
        </w:tc>
        <w:tc>
          <w:tcPr>
            <w:tcW w:w="20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4"/>
                <w:szCs w:val="14"/>
                <w:color w:val="auto"/>
              </w:rPr>
              <w:t>404</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FFCC"/>
            </w:tcBorders>
            <w:shd w:val="clear" w:color="auto" w:fill="CCFFCC"/>
          </w:tcPr>
          <w:p>
            <w:pPr>
              <w:jc w:val="right"/>
              <w:ind w:right="73"/>
              <w:spacing w:after="0"/>
              <w:rPr>
                <w:sz w:val="20"/>
                <w:szCs w:val="20"/>
                <w:color w:val="auto"/>
              </w:rPr>
            </w:pPr>
            <w:r>
              <w:rPr>
                <w:rFonts w:ascii="Arial" w:cs="Arial" w:eastAsia="Arial" w:hAnsi="Arial"/>
                <w:sz w:val="14"/>
                <w:szCs w:val="14"/>
                <w:color w:val="auto"/>
              </w:rPr>
              <w:t>438</w:t>
            </w:r>
          </w:p>
        </w:tc>
        <w:tc>
          <w:tcPr>
            <w:tcW w:w="1400" w:type="dxa"/>
            <w:vAlign w:val="bottom"/>
            <w:tcBorders>
              <w:bottom w:val="single" w:sz="8" w:color="CCFFCC"/>
            </w:tcBorders>
            <w:gridSpan w:val="4"/>
            <w:shd w:val="clear" w:color="auto" w:fill="CCFFCC"/>
          </w:tcPr>
          <w:p>
            <w:pPr>
              <w:jc w:val="right"/>
              <w:ind w:right="140"/>
              <w:spacing w:after="0"/>
              <w:rPr>
                <w:sz w:val="20"/>
                <w:szCs w:val="20"/>
                <w:color w:val="auto"/>
              </w:rPr>
            </w:pPr>
            <w:r>
              <w:rPr>
                <w:rFonts w:ascii="Arial" w:cs="Arial" w:eastAsia="Arial" w:hAnsi="Arial"/>
                <w:sz w:val="14"/>
                <w:szCs w:val="14"/>
                <w:color w:val="auto"/>
              </w:rPr>
              <w:t>(8)%  $</w:t>
            </w:r>
          </w:p>
        </w:tc>
        <w:tc>
          <w:tcPr>
            <w:tcW w:w="5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4"/>
                <w:szCs w:val="14"/>
                <w:color w:val="auto"/>
                <w:w w:val="85"/>
              </w:rPr>
              <w:t>809</w:t>
            </w:r>
          </w:p>
        </w:tc>
        <w:tc>
          <w:tcPr>
            <w:tcW w:w="440" w:type="dxa"/>
            <w:vAlign w:val="bottom"/>
            <w:tcBorders>
              <w:bottom w:val="single" w:sz="8" w:color="CCFFCC"/>
            </w:tcBorders>
            <w:shd w:val="clear" w:color="auto" w:fill="CCFFCC"/>
          </w:tcPr>
          <w:p>
            <w:pPr>
              <w:jc w:val="right"/>
              <w:ind w:right="54"/>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FFCC"/>
            </w:tcBorders>
            <w:shd w:val="clear" w:color="auto" w:fill="CCFFCC"/>
          </w:tcPr>
          <w:p>
            <w:pPr>
              <w:jc w:val="right"/>
              <w:ind w:right="73"/>
              <w:spacing w:after="0"/>
              <w:rPr>
                <w:sz w:val="20"/>
                <w:szCs w:val="20"/>
                <w:color w:val="auto"/>
              </w:rPr>
            </w:pPr>
            <w:r>
              <w:rPr>
                <w:rFonts w:ascii="Arial" w:cs="Arial" w:eastAsia="Arial" w:hAnsi="Arial"/>
                <w:sz w:val="14"/>
                <w:szCs w:val="14"/>
                <w:color w:val="auto"/>
              </w:rPr>
              <w:t>899</w:t>
            </w:r>
          </w:p>
        </w:tc>
        <w:tc>
          <w:tcPr>
            <w:tcW w:w="1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(10)%</w:t>
            </w:r>
          </w:p>
        </w:tc>
      </w:tr>
      <w:tr>
        <w:trPr>
          <w:trHeight w:val="206"/>
        </w:trPr>
        <w:tc>
          <w:tcPr>
            <w:tcW w:w="4120" w:type="dxa"/>
            <w:vAlign w:val="bottom"/>
          </w:tcPr>
          <w:p>
            <w:pPr>
              <w:ind w:left="20"/>
              <w:spacing w:after="0"/>
              <w:rPr>
                <w:sz w:val="20"/>
                <w:szCs w:val="20"/>
                <w:color w:val="auto"/>
              </w:rPr>
            </w:pPr>
            <w:r>
              <w:rPr>
                <w:rFonts w:ascii="Arial" w:cs="Arial" w:eastAsia="Arial" w:hAnsi="Arial"/>
                <w:sz w:val="14"/>
                <w:szCs w:val="14"/>
                <w:color w:val="auto"/>
              </w:rPr>
              <w:t>Percentage of total revenues</w:t>
            </w:r>
          </w:p>
        </w:tc>
        <w:tc>
          <w:tcPr>
            <w:tcW w:w="200" w:type="dxa"/>
            <w:vAlign w:val="bottom"/>
          </w:tcPr>
          <w:p>
            <w:pPr>
              <w:spacing w:after="0"/>
              <w:rPr>
                <w:sz w:val="17"/>
                <w:szCs w:val="17"/>
                <w:color w:val="auto"/>
              </w:rPr>
            </w:pPr>
          </w:p>
        </w:tc>
        <w:tc>
          <w:tcPr>
            <w:tcW w:w="780" w:type="dxa"/>
            <w:vAlign w:val="bottom"/>
          </w:tcPr>
          <w:p>
            <w:pPr>
              <w:ind w:left="4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109"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Amortization expense for purchased intangibles decreased by 8% and 10% to $0.4 million and $0.8 million in the three and six months ended June 30, 2020 from $0.4 million and $0.9 million in the comparable period in 2019.</w:t>
      </w:r>
    </w:p>
    <w:p>
      <w:pPr>
        <w:spacing w:after="0" w:line="64" w:lineRule="exact"/>
        <w:rPr>
          <w:sz w:val="20"/>
          <w:szCs w:val="20"/>
          <w:color w:val="auto"/>
        </w:rPr>
      </w:pPr>
    </w:p>
    <w:p>
      <w:pPr>
        <w:ind w:left="560" w:right="180"/>
        <w:spacing w:after="0" w:line="365" w:lineRule="auto"/>
        <w:rPr>
          <w:sz w:val="20"/>
          <w:szCs w:val="20"/>
          <w:color w:val="auto"/>
        </w:rPr>
      </w:pPr>
      <w:r>
        <w:rPr>
          <w:rFonts w:ascii="Arial" w:cs="Arial" w:eastAsia="Arial" w:hAnsi="Arial"/>
          <w:sz w:val="16"/>
          <w:szCs w:val="16"/>
          <w:color w:val="auto"/>
        </w:rPr>
        <w:t xml:space="preserve">Additional amortization expense in the amount of $0.3 million and $0.6 million in the three and six months ended June 30, 2020 and 2019 is included in cost of revenue. </w:t>
      </w:r>
      <w:r>
        <w:rPr>
          <w:rFonts w:ascii="Arial" w:cs="Arial" w:eastAsia="Arial" w:hAnsi="Arial"/>
          <w:sz w:val="16"/>
          <w:szCs w:val="16"/>
          <w:i w:val="1"/>
          <w:iCs w:val="1"/>
          <w:color w:val="auto"/>
        </w:rPr>
        <w:t>Other Expense (Income), net</w:t>
      </w:r>
    </w:p>
    <w:p>
      <w:pPr>
        <w:spacing w:after="0" w:line="1" w:lineRule="exact"/>
        <w:rPr>
          <w:sz w:val="20"/>
          <w:szCs w:val="20"/>
          <w:color w:val="auto"/>
        </w:rPr>
      </w:pPr>
    </w:p>
    <w:p>
      <w:pPr>
        <w:jc w:val="both"/>
        <w:ind w:right="20" w:firstLine="561"/>
        <w:spacing w:after="0" w:line="334" w:lineRule="auto"/>
        <w:rPr>
          <w:sz w:val="20"/>
          <w:szCs w:val="20"/>
          <w:color w:val="auto"/>
        </w:rPr>
      </w:pPr>
      <w:r>
        <w:rPr>
          <w:rFonts w:ascii="Arial" w:cs="Arial" w:eastAsia="Arial" w:hAnsi="Arial"/>
          <w:sz w:val="14"/>
          <w:szCs w:val="14"/>
          <w:color w:val="auto"/>
        </w:rPr>
        <w:t>Other expense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10" w:lineRule="exact"/>
        <w:rPr>
          <w:sz w:val="20"/>
          <w:szCs w:val="20"/>
          <w:color w:val="auto"/>
        </w:rPr>
      </w:pPr>
    </w:p>
    <w:tbl>
      <w:tblPr>
        <w:tblLayout w:type="fixed"/>
        <w:tblInd w:w="480" w:type="dxa"/>
        <w:tblCellMar>
          <w:top w:w="0" w:type="dxa"/>
          <w:left w:w="0" w:type="dxa"/>
          <w:bottom w:w="0" w:type="dxa"/>
          <w:right w:w="0" w:type="dxa"/>
        </w:tblCellMar>
      </w:tblPr>
      <w:tr>
        <w:trPr>
          <w:trHeight w:val="166"/>
        </w:trPr>
        <w:tc>
          <w:tcPr>
            <w:tcW w:w="4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right"/>
              <w:ind w:right="618"/>
              <w:spacing w:after="0"/>
              <w:rPr>
                <w:sz w:val="20"/>
                <w:szCs w:val="20"/>
                <w:color w:val="auto"/>
              </w:rPr>
            </w:pPr>
            <w:r>
              <w:rPr>
                <w:rFonts w:ascii="Arial" w:cs="Arial" w:eastAsia="Arial" w:hAnsi="Arial"/>
                <w:sz w:val="12"/>
                <w:szCs w:val="12"/>
                <w:b w:val="1"/>
                <w:bCs w:val="1"/>
                <w:color w:val="auto"/>
              </w:rPr>
              <w:t>Three Months Ended June 30,</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right"/>
              <w:ind w:right="698"/>
              <w:spacing w:after="0"/>
              <w:rPr>
                <w:sz w:val="20"/>
                <w:szCs w:val="20"/>
                <w:color w:val="auto"/>
              </w:rPr>
            </w:pPr>
            <w:r>
              <w:rPr>
                <w:rFonts w:ascii="Arial" w:cs="Arial" w:eastAsia="Arial" w:hAnsi="Arial"/>
                <w:sz w:val="12"/>
                <w:szCs w:val="12"/>
                <w:b w:val="1"/>
                <w:bCs w:val="1"/>
                <w:color w:val="auto"/>
              </w:rPr>
              <w:t>Six Months Ended June 30,</w:t>
            </w:r>
          </w:p>
        </w:tc>
      </w:tr>
      <w:tr>
        <w:trPr>
          <w:trHeight w:val="225"/>
        </w:trPr>
        <w:tc>
          <w:tcPr>
            <w:tcW w:w="4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314"/>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7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 Change</w:t>
            </w:r>
          </w:p>
        </w:tc>
        <w:tc>
          <w:tcPr>
            <w:tcW w:w="200" w:type="dxa"/>
            <w:vAlign w:val="bottom"/>
          </w:tcPr>
          <w:p>
            <w:pPr>
              <w:spacing w:after="0"/>
              <w:rPr>
                <w:sz w:val="19"/>
                <w:szCs w:val="19"/>
                <w:color w:val="auto"/>
              </w:rPr>
            </w:pPr>
          </w:p>
        </w:tc>
        <w:tc>
          <w:tcPr>
            <w:tcW w:w="740" w:type="dxa"/>
            <w:vAlign w:val="bottom"/>
          </w:tcPr>
          <w:p>
            <w:pPr>
              <w:jc w:val="right"/>
              <w:ind w:right="294"/>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9"/>
                <w:szCs w:val="19"/>
                <w:color w:val="auto"/>
              </w:rPr>
            </w:pPr>
          </w:p>
        </w:tc>
        <w:tc>
          <w:tcPr>
            <w:tcW w:w="700" w:type="dxa"/>
            <w:vAlign w:val="bottom"/>
          </w:tcPr>
          <w:p>
            <w:pPr>
              <w:jc w:val="right"/>
              <w:ind w:right="27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9"/>
                <w:szCs w:val="19"/>
                <w:color w:val="auto"/>
              </w:rPr>
            </w:pPr>
          </w:p>
        </w:tc>
        <w:tc>
          <w:tcPr>
            <w:tcW w:w="1000" w:type="dxa"/>
            <w:vAlign w:val="bottom"/>
          </w:tcPr>
          <w:p>
            <w:pPr>
              <w:jc w:val="right"/>
              <w:ind w:right="178"/>
              <w:spacing w:after="0"/>
              <w:rPr>
                <w:sz w:val="20"/>
                <w:szCs w:val="20"/>
                <w:color w:val="auto"/>
              </w:rPr>
            </w:pPr>
            <w:r>
              <w:rPr>
                <w:rFonts w:ascii="Arial" w:cs="Arial" w:eastAsia="Arial" w:hAnsi="Arial"/>
                <w:sz w:val="12"/>
                <w:szCs w:val="12"/>
                <w:b w:val="1"/>
                <w:bCs w:val="1"/>
                <w:color w:val="auto"/>
              </w:rPr>
              <w:t>% Change</w:t>
            </w:r>
          </w:p>
        </w:tc>
      </w:tr>
      <w:tr>
        <w:trPr>
          <w:trHeight w:val="225"/>
        </w:trPr>
        <w:tc>
          <w:tcPr>
            <w:tcW w:w="424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jc w:val="right"/>
              <w:ind w:right="472"/>
              <w:spacing w:after="0"/>
              <w:rPr>
                <w:sz w:val="20"/>
                <w:szCs w:val="20"/>
                <w:color w:val="auto"/>
              </w:rPr>
            </w:pPr>
            <w:r>
              <w:rPr>
                <w:rFonts w:ascii="Arial" w:cs="Arial" w:eastAsia="Arial" w:hAnsi="Arial"/>
                <w:sz w:val="12"/>
                <w:szCs w:val="12"/>
                <w:b w:val="1"/>
                <w:bCs w:val="1"/>
                <w:color w:val="auto"/>
              </w:rPr>
              <w:t>($ in thousands)</w:t>
            </w:r>
          </w:p>
        </w:tc>
        <w:tc>
          <w:tcPr>
            <w:tcW w:w="100" w:type="dxa"/>
            <w:vAlign w:val="bottom"/>
            <w:tcBorders>
              <w:bottom w:val="single" w:sz="8" w:color="CCFFCC"/>
            </w:tcBorders>
          </w:tcPr>
          <w:p>
            <w:pPr>
              <w:spacing w:after="0"/>
              <w:rPr>
                <w:sz w:val="19"/>
                <w:szCs w:val="19"/>
                <w:color w:val="auto"/>
              </w:rPr>
            </w:pPr>
          </w:p>
        </w:tc>
        <w:tc>
          <w:tcPr>
            <w:tcW w:w="960" w:type="dxa"/>
            <w:vAlign w:val="bottom"/>
            <w:tcBorders>
              <w:top w:val="single" w:sz="8" w:color="auto"/>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2"/>
                <w:szCs w:val="12"/>
                <w:b w:val="1"/>
                <w:bCs w:val="1"/>
                <w:color w:val="auto"/>
              </w:rPr>
              <w:t>($ in thousands)</w:t>
            </w:r>
          </w:p>
        </w:tc>
        <w:tc>
          <w:tcPr>
            <w:tcW w:w="100" w:type="dxa"/>
            <w:vAlign w:val="bottom"/>
            <w:tcBorders>
              <w:bottom w:val="single" w:sz="8" w:color="CCFFCC"/>
            </w:tcBorders>
          </w:tcPr>
          <w:p>
            <w:pPr>
              <w:spacing w:after="0"/>
              <w:rPr>
                <w:sz w:val="19"/>
                <w:szCs w:val="19"/>
                <w:color w:val="auto"/>
              </w:rPr>
            </w:pPr>
          </w:p>
        </w:tc>
        <w:tc>
          <w:tcPr>
            <w:tcW w:w="1000" w:type="dxa"/>
            <w:vAlign w:val="bottom"/>
            <w:tcBorders>
              <w:top w:val="single" w:sz="8" w:color="auto"/>
              <w:bottom w:val="single" w:sz="8" w:color="CCFFCC"/>
            </w:tcBorders>
          </w:tcPr>
          <w:p>
            <w:pPr>
              <w:spacing w:after="0"/>
              <w:rPr>
                <w:sz w:val="19"/>
                <w:szCs w:val="19"/>
                <w:color w:val="auto"/>
              </w:rPr>
            </w:pPr>
          </w:p>
        </w:tc>
      </w:tr>
      <w:tr>
        <w:trPr>
          <w:trHeight w:val="211"/>
        </w:trPr>
        <w:tc>
          <w:tcPr>
            <w:tcW w:w="42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jc w:val="right"/>
              <w:ind w:right="34"/>
              <w:spacing w:after="0"/>
              <w:rPr>
                <w:sz w:val="20"/>
                <w:szCs w:val="20"/>
                <w:color w:val="auto"/>
              </w:rPr>
            </w:pPr>
            <w:r>
              <w:rPr>
                <w:rFonts w:ascii="Arial" w:cs="Arial" w:eastAsia="Arial" w:hAnsi="Arial"/>
                <w:sz w:val="14"/>
                <w:szCs w:val="14"/>
                <w:color w:val="auto"/>
              </w:rPr>
              <w:t>(3,211)</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(2,017)</w:t>
            </w:r>
          </w:p>
        </w:tc>
        <w:tc>
          <w:tcPr>
            <w:tcW w:w="10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4"/>
                <w:szCs w:val="14"/>
                <w:color w:val="auto"/>
              </w:rPr>
              <w:t>(6,002)</w:t>
            </w:r>
          </w:p>
        </w:tc>
        <w:tc>
          <w:tcPr>
            <w:tcW w:w="2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(2,684)</w:t>
            </w:r>
          </w:p>
        </w:tc>
        <w:tc>
          <w:tcPr>
            <w:tcW w:w="11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124 %</w:t>
            </w:r>
          </w:p>
        </w:tc>
      </w:tr>
      <w:tr>
        <w:trPr>
          <w:trHeight w:val="206"/>
        </w:trPr>
        <w:tc>
          <w:tcPr>
            <w:tcW w:w="424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200" w:type="dxa"/>
            <w:vAlign w:val="bottom"/>
          </w:tcPr>
          <w:p>
            <w:pPr>
              <w:spacing w:after="0"/>
              <w:rPr>
                <w:sz w:val="17"/>
                <w:szCs w:val="17"/>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(1,309)</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4"/>
                <w:szCs w:val="14"/>
                <w:color w:val="auto"/>
              </w:rPr>
              <w:t>(1,975)</w:t>
            </w:r>
          </w:p>
        </w:tc>
        <w:tc>
          <w:tcPr>
            <w:tcW w:w="260" w:type="dxa"/>
            <w:vAlign w:val="bottom"/>
          </w:tcPr>
          <w:p>
            <w:pPr>
              <w:spacing w:after="0"/>
              <w:rPr>
                <w:sz w:val="17"/>
                <w:szCs w:val="17"/>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483</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(509)%</w:t>
            </w:r>
          </w:p>
        </w:tc>
      </w:tr>
      <w:tr>
        <w:trPr>
          <w:trHeight w:val="28"/>
        </w:trPr>
        <w:tc>
          <w:tcPr>
            <w:tcW w:w="42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960" w:type="dxa"/>
            <w:vAlign w:val="bottom"/>
            <w:tcBorders>
              <w:bottom w:val="single" w:sz="8" w:color="CCFFCC"/>
            </w:tcBorders>
          </w:tcPr>
          <w:p>
            <w:pPr>
              <w:spacing w:after="0"/>
              <w:rPr>
                <w:sz w:val="2"/>
                <w:szCs w:val="2"/>
                <w:color w:val="auto"/>
              </w:rPr>
            </w:pPr>
          </w:p>
        </w:tc>
        <w:tc>
          <w:tcPr>
            <w:tcW w:w="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0" w:type="dxa"/>
            <w:vAlign w:val="bottom"/>
            <w:tcBorders>
              <w:bottom w:val="single" w:sz="8" w:color="CCFFCC"/>
            </w:tcBorders>
          </w:tcPr>
          <w:p>
            <w:pPr>
              <w:spacing w:after="0"/>
              <w:rPr>
                <w:sz w:val="2"/>
                <w:szCs w:val="2"/>
                <w:color w:val="auto"/>
              </w:rPr>
            </w:pPr>
          </w:p>
        </w:tc>
      </w:tr>
      <w:tr>
        <w:trPr>
          <w:trHeight w:val="197"/>
        </w:trPr>
        <w:tc>
          <w:tcPr>
            <w:tcW w:w="4240" w:type="dxa"/>
            <w:vAlign w:val="bottom"/>
            <w:shd w:val="clear" w:color="auto" w:fill="CCFFCC"/>
          </w:tcPr>
          <w:p>
            <w:pPr>
              <w:ind w:left="20"/>
              <w:spacing w:after="0"/>
              <w:rPr>
                <w:sz w:val="20"/>
                <w:szCs w:val="20"/>
                <w:color w:val="auto"/>
              </w:rPr>
            </w:pPr>
            <w:r>
              <w:rPr>
                <w:rFonts w:ascii="Arial" w:cs="Arial" w:eastAsia="Arial" w:hAnsi="Arial"/>
                <w:sz w:val="14"/>
                <w:szCs w:val="14"/>
                <w:color w:val="auto"/>
              </w:rPr>
              <w:t>Other expense, net</w:t>
            </w:r>
          </w:p>
        </w:tc>
        <w:tc>
          <w:tcPr>
            <w:tcW w:w="200" w:type="dxa"/>
            <w:vAlign w:val="bottom"/>
            <w:shd w:val="clear" w:color="auto" w:fill="CCFFCC"/>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FFCC"/>
          </w:tcPr>
          <w:p>
            <w:pPr>
              <w:jc w:val="right"/>
              <w:ind w:right="34"/>
              <w:spacing w:after="0"/>
              <w:rPr>
                <w:sz w:val="20"/>
                <w:szCs w:val="20"/>
                <w:color w:val="auto"/>
              </w:rPr>
            </w:pPr>
            <w:r>
              <w:rPr>
                <w:rFonts w:ascii="Arial" w:cs="Arial" w:eastAsia="Arial" w:hAnsi="Arial"/>
                <w:sz w:val="14"/>
                <w:szCs w:val="14"/>
                <w:color w:val="auto"/>
              </w:rPr>
              <w:t>(4,520)</w:t>
            </w: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(2,267)</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ind w:right="14"/>
              <w:spacing w:after="0"/>
              <w:rPr>
                <w:sz w:val="20"/>
                <w:szCs w:val="20"/>
                <w:color w:val="auto"/>
              </w:rPr>
            </w:pPr>
            <w:r>
              <w:rPr>
                <w:rFonts w:ascii="Arial" w:cs="Arial" w:eastAsia="Arial" w:hAnsi="Arial"/>
                <w:sz w:val="14"/>
                <w:szCs w:val="14"/>
                <w:color w:val="auto"/>
              </w:rPr>
              <w:t>(7,977)</w:t>
            </w: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(2,201)</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262 %</w:t>
            </w:r>
          </w:p>
        </w:tc>
      </w:tr>
      <w:tr>
        <w:trPr>
          <w:trHeight w:val="28"/>
        </w:trPr>
        <w:tc>
          <w:tcPr>
            <w:tcW w:w="424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r>
    </w:tbl>
    <w:p>
      <w:pPr>
        <w:spacing w:after="0" w:line="81" w:lineRule="exact"/>
        <w:rPr>
          <w:sz w:val="20"/>
          <w:szCs w:val="20"/>
          <w:color w:val="auto"/>
        </w:rPr>
      </w:pPr>
    </w:p>
    <w:p>
      <w:pPr>
        <w:jc w:val="both"/>
        <w:ind w:right="20" w:firstLine="561"/>
        <w:spacing w:after="0" w:line="253" w:lineRule="auto"/>
        <w:rPr>
          <w:sz w:val="20"/>
          <w:szCs w:val="20"/>
          <w:color w:val="auto"/>
        </w:rPr>
      </w:pPr>
      <w:r>
        <w:rPr>
          <w:rFonts w:ascii="Arial" w:cs="Arial" w:eastAsia="Arial" w:hAnsi="Arial"/>
          <w:sz w:val="16"/>
          <w:szCs w:val="16"/>
          <w:color w:val="auto"/>
        </w:rPr>
        <w:t>Other expense increased to $4.5 million and $8.0 million in the three and six months ended June 30, 2020, respectively, from other expense of $2.3 million and $2.2 million, respectively, in the comparable periods in 2019 due to interest expense attributable to the 0.750% Convertible Senior Notes due 2024 (the ‘‘Notes’’), partially offset by interest income on cash and cash equivalents and financial income which is attributable to currency rate fluctuations.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(Benefit from) Provision For Income Taxes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ind w:left="480"/>
              <w:spacing w:after="0"/>
              <w:rPr>
                <w:sz w:val="20"/>
                <w:szCs w:val="20"/>
                <w:color w:val="auto"/>
              </w:rPr>
            </w:pPr>
            <w:r>
              <w:rPr>
                <w:rFonts w:ascii="Arial" w:cs="Arial" w:eastAsia="Arial" w:hAnsi="Arial"/>
                <w:sz w:val="12"/>
                <w:szCs w:val="12"/>
                <w:b w:val="1"/>
                <w:bCs w:val="1"/>
                <w:color w:val="auto"/>
              </w:rPr>
              <w:t>Three Months Ended June 30,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678"/>
              <w:spacing w:after="0"/>
              <w:rPr>
                <w:sz w:val="20"/>
                <w:szCs w:val="20"/>
                <w:color w:val="auto"/>
              </w:rPr>
            </w:pPr>
            <w:r>
              <w:rPr>
                <w:rFonts w:ascii="Arial" w:cs="Arial" w:eastAsia="Arial" w:hAnsi="Arial"/>
                <w:sz w:val="12"/>
                <w:szCs w:val="12"/>
                <w:b w:val="1"/>
                <w:bCs w:val="1"/>
                <w:color w:val="auto"/>
              </w:rPr>
              <w:t>Six Months Ended June 30,</w:t>
            </w:r>
          </w:p>
        </w:tc>
      </w:tr>
      <w:tr>
        <w:trPr>
          <w:trHeight w:val="225"/>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96"/>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9"/>
                <w:szCs w:val="19"/>
                <w:color w:val="auto"/>
              </w:rPr>
            </w:pPr>
          </w:p>
        </w:tc>
        <w:tc>
          <w:tcPr>
            <w:tcW w:w="660" w:type="dxa"/>
            <w:vAlign w:val="bottom"/>
          </w:tcPr>
          <w:p>
            <w:pPr>
              <w:jc w:val="right"/>
              <w:ind w:right="254"/>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 Change</w:t>
            </w:r>
          </w:p>
        </w:tc>
        <w:tc>
          <w:tcPr>
            <w:tcW w:w="700" w:type="dxa"/>
            <w:vAlign w:val="bottom"/>
          </w:tcPr>
          <w:p>
            <w:pPr>
              <w:jc w:val="right"/>
              <w:ind w:right="276"/>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9"/>
                <w:szCs w:val="19"/>
                <w:color w:val="auto"/>
              </w:rPr>
            </w:pPr>
          </w:p>
        </w:tc>
        <w:tc>
          <w:tcPr>
            <w:tcW w:w="680" w:type="dxa"/>
            <w:vAlign w:val="bottom"/>
          </w:tcPr>
          <w:p>
            <w:pPr>
              <w:jc w:val="right"/>
              <w:ind w:right="254"/>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9"/>
                <w:szCs w:val="19"/>
                <w:color w:val="auto"/>
              </w:rPr>
            </w:pPr>
          </w:p>
        </w:tc>
        <w:tc>
          <w:tcPr>
            <w:tcW w:w="980" w:type="dxa"/>
            <w:vAlign w:val="bottom"/>
          </w:tcPr>
          <w:p>
            <w:pPr>
              <w:jc w:val="right"/>
              <w:ind w:right="138"/>
              <w:spacing w:after="0"/>
              <w:rPr>
                <w:sz w:val="20"/>
                <w:szCs w:val="20"/>
                <w:color w:val="auto"/>
              </w:rPr>
            </w:pPr>
            <w:r>
              <w:rPr>
                <w:rFonts w:ascii="Arial" w:cs="Arial" w:eastAsia="Arial" w:hAnsi="Arial"/>
                <w:sz w:val="12"/>
                <w:szCs w:val="12"/>
                <w:b w:val="1"/>
                <w:bCs w:val="1"/>
                <w:color w:val="auto"/>
              </w:rPr>
              <w:t>% Change</w:t>
            </w:r>
          </w:p>
        </w:tc>
      </w:tr>
      <w:tr>
        <w:trPr>
          <w:trHeight w:val="225"/>
        </w:trPr>
        <w:tc>
          <w:tcPr>
            <w:tcW w:w="528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2"/>
                <w:szCs w:val="12"/>
                <w:b w:val="1"/>
                <w:bCs w:val="1"/>
                <w:color w:val="auto"/>
              </w:rPr>
              <w:t>($ in thousands)</w:t>
            </w:r>
          </w:p>
        </w:tc>
        <w:tc>
          <w:tcPr>
            <w:tcW w:w="100" w:type="dxa"/>
            <w:vAlign w:val="bottom"/>
            <w:tcBorders>
              <w:bottom w:val="single" w:sz="8" w:color="CCFFCC"/>
            </w:tcBorders>
          </w:tcPr>
          <w:p>
            <w:pPr>
              <w:spacing w:after="0"/>
              <w:rPr>
                <w:sz w:val="19"/>
                <w:szCs w:val="19"/>
                <w:color w:val="auto"/>
              </w:rPr>
            </w:pPr>
          </w:p>
        </w:tc>
        <w:tc>
          <w:tcPr>
            <w:tcW w:w="980" w:type="dxa"/>
            <w:vAlign w:val="bottom"/>
            <w:tcBorders>
              <w:top w:val="single" w:sz="8" w:color="auto"/>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3"/>
          </w:tcPr>
          <w:p>
            <w:pPr>
              <w:jc w:val="right"/>
              <w:ind w:right="434"/>
              <w:spacing w:after="0"/>
              <w:rPr>
                <w:sz w:val="20"/>
                <w:szCs w:val="20"/>
                <w:color w:val="auto"/>
              </w:rPr>
            </w:pPr>
            <w:r>
              <w:rPr>
                <w:rFonts w:ascii="Arial" w:cs="Arial" w:eastAsia="Arial" w:hAnsi="Arial"/>
                <w:sz w:val="12"/>
                <w:szCs w:val="12"/>
                <w:b w:val="1"/>
                <w:bCs w:val="1"/>
                <w:color w:val="auto"/>
              </w:rPr>
              <w:t>($ in thousands)</w:t>
            </w:r>
          </w:p>
        </w:tc>
        <w:tc>
          <w:tcPr>
            <w:tcW w:w="100" w:type="dxa"/>
            <w:vAlign w:val="bottom"/>
            <w:tcBorders>
              <w:bottom w:val="single" w:sz="8" w:color="CCFFCC"/>
            </w:tcBorders>
          </w:tcPr>
          <w:p>
            <w:pPr>
              <w:spacing w:after="0"/>
              <w:rPr>
                <w:sz w:val="19"/>
                <w:szCs w:val="19"/>
                <w:color w:val="auto"/>
              </w:rPr>
            </w:pPr>
          </w:p>
        </w:tc>
        <w:tc>
          <w:tcPr>
            <w:tcW w:w="980" w:type="dxa"/>
            <w:vAlign w:val="bottom"/>
            <w:tcBorders>
              <w:top w:val="single" w:sz="8" w:color="auto"/>
              <w:bottom w:val="single" w:sz="8" w:color="CCFFCC"/>
            </w:tcBorders>
          </w:tcPr>
          <w:p>
            <w:pPr>
              <w:spacing w:after="0"/>
              <w:rPr>
                <w:sz w:val="19"/>
                <w:szCs w:val="19"/>
                <w:color w:val="auto"/>
              </w:rPr>
            </w:pPr>
          </w:p>
        </w:tc>
      </w:tr>
      <w:tr>
        <w:trPr>
          <w:trHeight w:val="203"/>
        </w:trPr>
        <w:tc>
          <w:tcPr>
            <w:tcW w:w="5280" w:type="dxa"/>
            <w:vAlign w:val="bottom"/>
            <w:shd w:val="clear" w:color="auto" w:fill="CCFFCC"/>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00" w:type="dxa"/>
            <w:vAlign w:val="bottom"/>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FFCC"/>
          </w:tcPr>
          <w:p>
            <w:pPr>
              <w:ind w:left="320"/>
              <w:spacing w:after="0"/>
              <w:rPr>
                <w:sz w:val="20"/>
                <w:szCs w:val="20"/>
                <w:color w:val="auto"/>
              </w:rPr>
            </w:pPr>
            <w:r>
              <w:rPr>
                <w:rFonts w:ascii="Arial" w:cs="Arial" w:eastAsia="Arial" w:hAnsi="Arial"/>
                <w:sz w:val="14"/>
                <w:szCs w:val="14"/>
                <w:color w:val="auto"/>
              </w:rPr>
              <w:t>(339)</w:t>
            </w:r>
          </w:p>
        </w:tc>
        <w:tc>
          <w:tcPr>
            <w:tcW w:w="280" w:type="dxa"/>
            <w:vAlign w:val="bottom"/>
            <w:shd w:val="clear" w:color="auto" w:fill="CCFFCC"/>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ind w:right="34"/>
              <w:spacing w:after="0"/>
              <w:rPr>
                <w:sz w:val="20"/>
                <w:szCs w:val="20"/>
                <w:color w:val="auto"/>
              </w:rPr>
            </w:pPr>
            <w:r>
              <w:rPr>
                <w:rFonts w:ascii="Arial" w:cs="Arial" w:eastAsia="Arial" w:hAnsi="Arial"/>
                <w:sz w:val="14"/>
                <w:szCs w:val="14"/>
                <w:color w:val="auto"/>
              </w:rPr>
              <w:t>699</w:t>
            </w:r>
          </w:p>
        </w:tc>
        <w:tc>
          <w:tcPr>
            <w:tcW w:w="1380" w:type="dxa"/>
            <w:vAlign w:val="bottom"/>
            <w:gridSpan w:val="4"/>
            <w:shd w:val="clear" w:color="auto" w:fill="CCFFCC"/>
          </w:tcPr>
          <w:p>
            <w:pPr>
              <w:jc w:val="right"/>
              <w:ind w:right="100"/>
              <w:spacing w:after="0"/>
              <w:rPr>
                <w:sz w:val="20"/>
                <w:szCs w:val="20"/>
                <w:color w:val="auto"/>
              </w:rPr>
            </w:pPr>
            <w:r>
              <w:rPr>
                <w:rFonts w:ascii="Arial" w:cs="Arial" w:eastAsia="Arial" w:hAnsi="Arial"/>
                <w:sz w:val="14"/>
                <w:szCs w:val="14"/>
                <w:color w:val="auto"/>
              </w:rPr>
              <w:t>(148)%  $</w:t>
            </w: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4"/>
                <w:szCs w:val="14"/>
                <w:color w:val="auto"/>
              </w:rPr>
              <w:t>13</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ind w:right="34"/>
              <w:spacing w:after="0"/>
              <w:rPr>
                <w:sz w:val="20"/>
                <w:szCs w:val="20"/>
                <w:color w:val="auto"/>
              </w:rPr>
            </w:pPr>
            <w:r>
              <w:rPr>
                <w:rFonts w:ascii="Arial" w:cs="Arial" w:eastAsia="Arial" w:hAnsi="Arial"/>
                <w:sz w:val="14"/>
                <w:szCs w:val="14"/>
                <w:color w:val="auto"/>
              </w:rPr>
              <w:t>1,292</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(99)%</w:t>
            </w:r>
          </w:p>
        </w:tc>
      </w:tr>
      <w:tr>
        <w:trPr>
          <w:trHeight w:val="28"/>
        </w:trPr>
        <w:tc>
          <w:tcPr>
            <w:tcW w:w="52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r>
    </w:tbl>
    <w:p>
      <w:pPr>
        <w:spacing w:after="0" w:line="81"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Benefit from income taxes was $0.3 million and Provision for income taxes was $0 million in the three and six months ended June 30, 2020, respectively, and $0.7 million and $1.3 million in the three and six months ended June 30, 2019, respectively. Our consolidated effective tax rate was impacted by the statutory income tax rates applicable to each of the jurisdictions in which we operate.</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Net Loss</w:t>
      </w:r>
    </w:p>
    <w:p>
      <w:pPr>
        <w:spacing w:after="0" w:line="96" w:lineRule="exact"/>
        <w:rPr>
          <w:sz w:val="20"/>
          <w:szCs w:val="20"/>
          <w:color w:val="auto"/>
        </w:rPr>
      </w:pPr>
    </w:p>
    <w:p>
      <w:pPr>
        <w:jc w:val="both"/>
        <w:ind w:right="20" w:firstLine="561"/>
        <w:spacing w:after="0" w:line="306" w:lineRule="auto"/>
        <w:rPr>
          <w:sz w:val="20"/>
          <w:szCs w:val="20"/>
          <w:color w:val="auto"/>
        </w:rPr>
      </w:pPr>
      <w:r>
        <w:rPr>
          <w:rFonts w:ascii="Arial" w:cs="Arial" w:eastAsia="Arial" w:hAnsi="Arial"/>
          <w:sz w:val="14"/>
          <w:szCs w:val="14"/>
          <w:color w:val="auto"/>
        </w:rPr>
        <w:t>We had a net loss of $18.6 million in the three months ended June 30, 2020 compared to a net loss of $24.0 million for the three months ended June 30, 2019. During the three months ended June 30, 2020, there were increases in revenue of approximately $20.6 million, increases in operating expenses of approximately $14.1 million, increase in other (expense) income, net of approximately $2.3 million, and decrease in provision for income taxes of approximately $1.0 million.</w:t>
      </w:r>
    </w:p>
    <w:p>
      <w:pPr>
        <w:spacing w:after="0" w:line="38" w:lineRule="exact"/>
        <w:rPr>
          <w:sz w:val="20"/>
          <w:szCs w:val="20"/>
          <w:color w:val="auto"/>
        </w:rPr>
      </w:pPr>
    </w:p>
    <w:p>
      <w:pPr>
        <w:jc w:val="both"/>
        <w:ind w:firstLine="561"/>
        <w:spacing w:after="0" w:line="306" w:lineRule="auto"/>
        <w:rPr>
          <w:sz w:val="20"/>
          <w:szCs w:val="20"/>
          <w:color w:val="auto"/>
        </w:rPr>
      </w:pPr>
      <w:r>
        <w:rPr>
          <w:rFonts w:ascii="Arial" w:cs="Arial" w:eastAsia="Arial" w:hAnsi="Arial"/>
          <w:sz w:val="14"/>
          <w:szCs w:val="14"/>
          <w:color w:val="auto"/>
        </w:rPr>
        <w:t>We had a net loss of $55.6 million in the six months ended June 30, 2020 compared to a net loss of $42.9 million for the six months ended June 30, 2019. During the six months ended June 30, 2020, there were increases in revenue of approximately $32.3 million, increases in operating expenses of approximately $40.6 million, increase in other (expense) income, net of approximately $5.8 million, and decrease in provision for income taxes of approximately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60"/>
          </w:cols>
          <w:pgMar w:left="320" w:top="501"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color w:val="auto"/>
        </w:rPr>
        <w:t>Liquidity and Capital Resources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left="414"/>
              <w:spacing w:after="0"/>
              <w:rPr>
                <w:sz w:val="20"/>
                <w:szCs w:val="20"/>
                <w:color w:val="auto"/>
              </w:rPr>
            </w:pPr>
            <w:r>
              <w:rPr>
                <w:rFonts w:ascii="Arial" w:cs="Arial" w:eastAsia="Arial" w:hAnsi="Arial"/>
                <w:sz w:val="12"/>
                <w:szCs w:val="12"/>
                <w:b w:val="1"/>
                <w:bCs w:val="1"/>
                <w:color w:val="auto"/>
                <w:w w:val="94"/>
              </w:rPr>
              <w:t>Six Months Ended</w:t>
            </w:r>
          </w:p>
        </w:tc>
        <w:tc>
          <w:tcPr>
            <w:tcW w:w="740" w:type="dxa"/>
            <w:vAlign w:val="bottom"/>
          </w:tcPr>
          <w:p>
            <w:pPr>
              <w:spacing w:after="0"/>
              <w:rPr>
                <w:sz w:val="13"/>
                <w:szCs w:val="13"/>
                <w:color w:val="auto"/>
              </w:rPr>
            </w:pPr>
          </w:p>
        </w:tc>
      </w:tr>
      <w:tr>
        <w:trPr>
          <w:trHeight w:val="239"/>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254"/>
              <w:spacing w:after="0"/>
              <w:rPr>
                <w:sz w:val="20"/>
                <w:szCs w:val="20"/>
                <w:color w:val="auto"/>
              </w:rPr>
            </w:pPr>
            <w:r>
              <w:rPr>
                <w:rFonts w:ascii="Arial" w:cs="Arial" w:eastAsia="Arial" w:hAnsi="Arial"/>
                <w:sz w:val="12"/>
                <w:szCs w:val="12"/>
                <w:b w:val="1"/>
                <w:bCs w:val="1"/>
                <w:color w:val="auto"/>
                <w:w w:val="91"/>
              </w:rPr>
              <w:t>June 30,</w:t>
            </w:r>
          </w:p>
        </w:tc>
        <w:tc>
          <w:tcPr>
            <w:tcW w:w="740" w:type="dxa"/>
            <w:vAlign w:val="bottom"/>
            <w:tcBorders>
              <w:bottom w:val="single" w:sz="8" w:color="auto"/>
            </w:tcBorders>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2"/>
                <w:szCs w:val="12"/>
                <w:b w:val="1"/>
                <w:bCs w:val="1"/>
                <w:color w:val="auto"/>
              </w:rPr>
              <w:t>2020</w:t>
            </w:r>
          </w:p>
        </w:tc>
        <w:tc>
          <w:tcPr>
            <w:tcW w:w="7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2019</w:t>
            </w:r>
          </w:p>
        </w:tc>
      </w:tr>
      <w:tr>
        <w:trPr>
          <w:trHeight w:val="214"/>
        </w:trPr>
        <w:tc>
          <w:tcPr>
            <w:tcW w:w="20" w:type="dxa"/>
            <w:vAlign w:val="bottom"/>
            <w:tcBorders>
              <w:bottom w:val="single" w:sz="8" w:color="CCFFCC"/>
            </w:tcBorders>
          </w:tcPr>
          <w:p>
            <w:pPr>
              <w:spacing w:after="0"/>
              <w:rPr>
                <w:sz w:val="18"/>
                <w:szCs w:val="18"/>
                <w:color w:val="auto"/>
              </w:rPr>
            </w:pPr>
          </w:p>
        </w:tc>
        <w:tc>
          <w:tcPr>
            <w:tcW w:w="2720" w:type="dxa"/>
            <w:vAlign w:val="bottom"/>
            <w:tcBorders>
              <w:bottom w:val="single" w:sz="8" w:color="CCFFCC"/>
            </w:tcBorders>
          </w:tcPr>
          <w:p>
            <w:pPr>
              <w:spacing w:after="0"/>
              <w:rPr>
                <w:sz w:val="18"/>
                <w:szCs w:val="18"/>
                <w:color w:val="auto"/>
              </w:rPr>
            </w:pPr>
          </w:p>
        </w:tc>
        <w:tc>
          <w:tcPr>
            <w:tcW w:w="594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left="434"/>
              <w:spacing w:after="0"/>
              <w:rPr>
                <w:sz w:val="20"/>
                <w:szCs w:val="20"/>
                <w:color w:val="auto"/>
              </w:rPr>
            </w:pPr>
            <w:r>
              <w:rPr>
                <w:rFonts w:ascii="Arial" w:cs="Arial" w:eastAsia="Arial" w:hAnsi="Arial"/>
                <w:sz w:val="12"/>
                <w:szCs w:val="12"/>
                <w:b w:val="1"/>
                <w:bCs w:val="1"/>
                <w:color w:val="auto"/>
                <w:w w:val="91"/>
              </w:rPr>
              <w:t>(in thousands)</w:t>
            </w:r>
          </w:p>
        </w:tc>
        <w:tc>
          <w:tcPr>
            <w:tcW w:w="740" w:type="dxa"/>
            <w:vAlign w:val="bottom"/>
            <w:tcBorders>
              <w:bottom w:val="single" w:sz="8" w:color="auto"/>
            </w:tcBorders>
          </w:tcPr>
          <w:p>
            <w:pPr>
              <w:spacing w:after="0"/>
              <w:rPr>
                <w:sz w:val="18"/>
                <w:szCs w:val="18"/>
                <w:color w:val="auto"/>
              </w:rPr>
            </w:pPr>
          </w:p>
        </w:tc>
      </w:tr>
      <w:tr>
        <w:trPr>
          <w:trHeight w:val="172"/>
        </w:trPr>
        <w:tc>
          <w:tcPr>
            <w:tcW w:w="8680" w:type="dxa"/>
            <w:vAlign w:val="bottom"/>
            <w:gridSpan w:val="3"/>
            <w:shd w:val="clear" w:color="auto" w:fill="CCFFCC"/>
          </w:tcPr>
          <w:p>
            <w:pPr>
              <w:ind w:left="20"/>
              <w:spacing w:after="0"/>
              <w:rPr>
                <w:sz w:val="20"/>
                <w:szCs w:val="20"/>
                <w:color w:val="auto"/>
              </w:rPr>
            </w:pPr>
            <w:r>
              <w:rPr>
                <w:rFonts w:ascii="Arial" w:cs="Arial" w:eastAsia="Arial" w:hAnsi="Arial"/>
                <w:sz w:val="14"/>
                <w:szCs w:val="14"/>
                <w:b w:val="1"/>
                <w:bCs w:val="1"/>
                <w:color w:val="auto"/>
              </w:rPr>
              <w:t>Consolidated Statements of Cash Flows Data:</w:t>
            </w:r>
          </w:p>
        </w:tc>
        <w:tc>
          <w:tcPr>
            <w:tcW w:w="26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r>
      <w:tr>
        <w:trPr>
          <w:trHeight w:val="38"/>
        </w:trPr>
        <w:tc>
          <w:tcPr>
            <w:tcW w:w="20" w:type="dxa"/>
            <w:vAlign w:val="bottom"/>
            <w:tcBorders>
              <w:top w:val="single" w:sz="8" w:color="CCFFCC"/>
            </w:tcBorders>
            <w:shd w:val="clear" w:color="auto" w:fill="CCFFCC"/>
          </w:tcPr>
          <w:p>
            <w:pPr>
              <w:spacing w:after="0"/>
              <w:rPr>
                <w:sz w:val="3"/>
                <w:szCs w:val="3"/>
                <w:color w:val="auto"/>
              </w:rPr>
            </w:pPr>
          </w:p>
        </w:tc>
        <w:tc>
          <w:tcPr>
            <w:tcW w:w="2720" w:type="dxa"/>
            <w:vAlign w:val="bottom"/>
            <w:tcBorders>
              <w:top w:val="single" w:sz="8" w:color="auto"/>
            </w:tcBorders>
            <w:shd w:val="clear" w:color="auto" w:fill="CCFFCC"/>
          </w:tcPr>
          <w:p>
            <w:pPr>
              <w:spacing w:after="0"/>
              <w:rPr>
                <w:sz w:val="3"/>
                <w:szCs w:val="3"/>
                <w:color w:val="auto"/>
              </w:rPr>
            </w:pPr>
          </w:p>
        </w:tc>
        <w:tc>
          <w:tcPr>
            <w:tcW w:w="5940" w:type="dxa"/>
            <w:vAlign w:val="bottom"/>
            <w:tcBorders>
              <w:top w:val="single" w:sz="8" w:color="CCFFCC"/>
            </w:tcBorders>
            <w:shd w:val="clear" w:color="auto" w:fill="CCFFCC"/>
          </w:tcPr>
          <w:p>
            <w:pPr>
              <w:spacing w:after="0"/>
              <w:rPr>
                <w:sz w:val="3"/>
                <w:szCs w:val="3"/>
                <w:color w:val="auto"/>
              </w:rPr>
            </w:pPr>
          </w:p>
        </w:tc>
        <w:tc>
          <w:tcPr>
            <w:tcW w:w="260" w:type="dxa"/>
            <w:vAlign w:val="bottom"/>
            <w:tcBorders>
              <w:top w:val="single" w:sz="8" w:color="CCFFCC"/>
            </w:tcBorders>
            <w:shd w:val="clear" w:color="auto" w:fill="CCFFCC"/>
          </w:tcPr>
          <w:p>
            <w:pPr>
              <w:spacing w:after="0"/>
              <w:rPr>
                <w:sz w:val="3"/>
                <w:szCs w:val="3"/>
                <w:color w:val="auto"/>
              </w:rPr>
            </w:pPr>
          </w:p>
        </w:tc>
        <w:tc>
          <w:tcPr>
            <w:tcW w:w="820" w:type="dxa"/>
            <w:vAlign w:val="bottom"/>
            <w:tcBorders>
              <w:top w:val="single" w:sz="8" w:color="CCFFCC"/>
            </w:tcBorders>
            <w:shd w:val="clear" w:color="auto" w:fill="CCFFCC"/>
          </w:tcPr>
          <w:p>
            <w:pPr>
              <w:spacing w:after="0"/>
              <w:rPr>
                <w:sz w:val="3"/>
                <w:szCs w:val="3"/>
                <w:color w:val="auto"/>
              </w:rPr>
            </w:pPr>
          </w:p>
        </w:tc>
        <w:tc>
          <w:tcPr>
            <w:tcW w:w="760" w:type="dxa"/>
            <w:vAlign w:val="bottom"/>
            <w:tcBorders>
              <w:top w:val="single" w:sz="8" w:color="CCFFCC"/>
            </w:tcBorders>
            <w:shd w:val="clear" w:color="auto" w:fill="CCFFCC"/>
          </w:tcPr>
          <w:p>
            <w:pPr>
              <w:spacing w:after="0"/>
              <w:rPr>
                <w:sz w:val="3"/>
                <w:szCs w:val="3"/>
                <w:color w:val="auto"/>
              </w:rPr>
            </w:pPr>
          </w:p>
        </w:tc>
        <w:tc>
          <w:tcPr>
            <w:tcW w:w="740" w:type="dxa"/>
            <w:vAlign w:val="bottom"/>
            <w:tcBorders>
              <w:top w:val="single" w:sz="8" w:color="CCFFCC"/>
            </w:tcBorders>
            <w:shd w:val="clear" w:color="auto" w:fill="CCFFCC"/>
          </w:tcPr>
          <w:p>
            <w:pPr>
              <w:spacing w:after="0"/>
              <w:rPr>
                <w:sz w:val="3"/>
                <w:szCs w:val="3"/>
                <w:color w:val="auto"/>
              </w:rPr>
            </w:pPr>
          </w:p>
        </w:tc>
      </w:tr>
      <w:tr>
        <w:trPr>
          <w:trHeight w:val="206"/>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Cash flows provided by (used in) operating activities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12,306</w:t>
            </w:r>
          </w:p>
        </w:tc>
        <w:tc>
          <w:tcPr>
            <w:tcW w:w="760" w:type="dxa"/>
            <w:vAlign w:val="bottom"/>
          </w:tcPr>
          <w:p>
            <w:pPr>
              <w:jc w:val="right"/>
              <w:ind w:right="214"/>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(28,912)</w:t>
            </w:r>
          </w:p>
        </w:tc>
      </w:tr>
      <w:tr>
        <w:trPr>
          <w:trHeight w:val="28"/>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4"/>
        </w:trPr>
        <w:tc>
          <w:tcPr>
            <w:tcW w:w="868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4"/>
                <w:szCs w:val="14"/>
                <w:color w:val="auto"/>
              </w:rPr>
              <w:t>Cash flows used in investing activities</w:t>
            </w:r>
          </w:p>
        </w:tc>
        <w:tc>
          <w:tcPr>
            <w:tcW w:w="26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(24,259)</w:t>
            </w:r>
          </w:p>
        </w:tc>
        <w:tc>
          <w:tcPr>
            <w:tcW w:w="76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(21,675)</w:t>
            </w:r>
          </w:p>
        </w:tc>
      </w:tr>
      <w:tr>
        <w:trPr>
          <w:trHeight w:val="206"/>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Cash flows provided by financing activities</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9,123</w:t>
            </w:r>
          </w:p>
        </w:tc>
        <w:tc>
          <w:tcPr>
            <w:tcW w:w="760" w:type="dxa"/>
            <w:vAlign w:val="bottom"/>
          </w:tcPr>
          <w:p>
            <w:pPr>
              <w:spacing w:after="0"/>
              <w:rPr>
                <w:sz w:val="17"/>
                <w:szCs w:val="17"/>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208,986</w:t>
            </w:r>
          </w:p>
        </w:tc>
      </w:tr>
    </w:tbl>
    <w:p>
      <w:pPr>
        <w:spacing w:after="0" w:line="109" w:lineRule="exact"/>
        <w:rPr>
          <w:sz w:val="20"/>
          <w:szCs w:val="20"/>
          <w:color w:val="auto"/>
        </w:rPr>
      </w:pPr>
    </w:p>
    <w:p>
      <w:pPr>
        <w:jc w:val="both"/>
        <w:ind w:right="20" w:firstLine="561"/>
        <w:spacing w:after="0" w:line="253" w:lineRule="auto"/>
        <w:rPr>
          <w:sz w:val="20"/>
          <w:szCs w:val="20"/>
          <w:color w:val="auto"/>
        </w:rPr>
      </w:pPr>
      <w:r>
        <w:rPr>
          <w:rFonts w:ascii="Arial" w:cs="Arial" w:eastAsia="Arial" w:hAnsi="Arial"/>
          <w:sz w:val="16"/>
          <w:szCs w:val="16"/>
          <w:color w:val="auto"/>
        </w:rPr>
        <w:t>As of June 30, 2020, we had approximately $173.2 million in cash and cash equivalents, a decrease of approximately $3.3 million from December 31, 2019. The decrease is primarily attributable to cash flows used in investing relating to purchases of property and equipment, offset by a decrease of accounts receivable from operating activities and proceeds from the issuance of common stock from financing activities.</w:t>
      </w:r>
    </w:p>
    <w:p>
      <w:pPr>
        <w:spacing w:after="0" w:line="72" w:lineRule="exact"/>
        <w:rPr>
          <w:sz w:val="20"/>
          <w:szCs w:val="20"/>
          <w:color w:val="auto"/>
        </w:rPr>
      </w:pPr>
    </w:p>
    <w:p>
      <w:pPr>
        <w:jc w:val="both"/>
        <w:ind w:firstLine="561"/>
        <w:spacing w:after="0" w:line="248" w:lineRule="auto"/>
        <w:rPr>
          <w:sz w:val="20"/>
          <w:szCs w:val="20"/>
          <w:color w:val="auto"/>
        </w:rPr>
      </w:pPr>
      <w:r>
        <w:rPr>
          <w:rFonts w:ascii="Arial" w:cs="Arial" w:eastAsia="Arial" w:hAnsi="Arial"/>
          <w:sz w:val="16"/>
          <w:szCs w:val="16"/>
          <w:color w:val="auto"/>
        </w:rPr>
        <w:t>Net cash provided by operating activities was $12.3 million for the six months ended June 30, 2020. Our net loss of $55.6 million was offset by non-cash expenses: stock-based compensation of $30.6 million; depreciation and amortization of $11.3 million; and a decrease in accounts receivable $10.1 million. Net cash used in operating activities was $28.9 million for the six months ended June 30, 2019 and consisted primarily of net loss, a decrease in accrued expenses and accounts payable and increases in prepaid expenses and accounts receivable. This was partially offset by increases in deferred revenue and non-cash expenses related to depreciation, stock compensation, and amortization of purchased intangibles.</w:t>
      </w:r>
    </w:p>
    <w:p>
      <w:pPr>
        <w:spacing w:after="0" w:line="77" w:lineRule="exact"/>
        <w:rPr>
          <w:sz w:val="20"/>
          <w:szCs w:val="20"/>
          <w:color w:val="auto"/>
        </w:rPr>
      </w:pPr>
    </w:p>
    <w:p>
      <w:pPr>
        <w:jc w:val="both"/>
        <w:ind w:right="20" w:firstLine="561"/>
        <w:spacing w:after="0" w:line="253" w:lineRule="auto"/>
        <w:rPr>
          <w:sz w:val="20"/>
          <w:szCs w:val="20"/>
          <w:color w:val="auto"/>
        </w:rPr>
      </w:pPr>
      <w:r>
        <w:rPr>
          <w:rFonts w:ascii="Arial" w:cs="Arial" w:eastAsia="Arial" w:hAnsi="Arial"/>
          <w:sz w:val="16"/>
          <w:szCs w:val="16"/>
          <w:color w:val="auto"/>
        </w:rPr>
        <w:t>Net cash used in investing activities was $24.3 million in the six months ended June 30, 2020 and consisted primarily of the purchase of fixed assets for our co-location facilities and capitalization of internally developed software. Net cash used in investing activities was $21.7 million in the six months ended June 30, 2019 and consisted primarily of the purchase of fixed assets for our co-location facilities and capitalization of internally developed software.</w:t>
      </w:r>
    </w:p>
    <w:p>
      <w:pPr>
        <w:spacing w:after="0" w:line="72" w:lineRule="exact"/>
        <w:rPr>
          <w:sz w:val="20"/>
          <w:szCs w:val="20"/>
          <w:color w:val="auto"/>
        </w:rPr>
      </w:pPr>
    </w:p>
    <w:p>
      <w:pPr>
        <w:jc w:val="both"/>
        <w:ind w:firstLine="561"/>
        <w:spacing w:after="0" w:line="292" w:lineRule="auto"/>
        <w:rPr>
          <w:sz w:val="20"/>
          <w:szCs w:val="20"/>
          <w:color w:val="auto"/>
        </w:rPr>
      </w:pPr>
      <w:r>
        <w:rPr>
          <w:rFonts w:ascii="Arial" w:cs="Arial" w:eastAsia="Arial" w:hAnsi="Arial"/>
          <w:sz w:val="14"/>
          <w:szCs w:val="14"/>
          <w:color w:val="auto"/>
        </w:rPr>
        <w:t>Net cash provided by financing activities was $9.1 million in the six months ended June 30, 2020 and consisted of proceeds from issuance of common stock in connection with the exercise of stock options by employees. Net cash provided by financing activities was $209.0 million in the six months ended June 30, 2019 and consisted primarily of proceeds from issuance of the Notes and proceeds from issuance of common stock in connection with the exercise of stock options by employees. This was partially offset by purchases of capped calls, debt issuance costs, and repurchase of our common stock. The net proceeds of the Notes was approximately $221.0 million, after deducting initial purchaser debt issuance costs paid or payable by us, from issuance of the Notes, as described in Note 8 to the Condensed Consolidated Financial Statements.</w:t>
      </w:r>
    </w:p>
    <w:p>
      <w:pPr>
        <w:spacing w:after="0" w:line="49" w:lineRule="exact"/>
        <w:rPr>
          <w:sz w:val="20"/>
          <w:szCs w:val="20"/>
          <w:color w:val="auto"/>
        </w:rPr>
      </w:pPr>
    </w:p>
    <w:p>
      <w:pPr>
        <w:jc w:val="both"/>
        <w:ind w:firstLine="561"/>
        <w:spacing w:after="0" w:line="250" w:lineRule="auto"/>
        <w:rPr>
          <w:sz w:val="20"/>
          <w:szCs w:val="20"/>
          <w:color w:val="auto"/>
        </w:rPr>
      </w:pPr>
      <w:r>
        <w:rPr>
          <w:rFonts w:ascii="Arial" w:cs="Arial" w:eastAsia="Arial" w:hAnsi="Arial"/>
          <w:sz w:val="16"/>
          <w:szCs w:val="16"/>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June 30, 2020, we had an accumulated deficit of approximately $339.9 million.</w:t>
      </w:r>
    </w:p>
    <w:p>
      <w:pPr>
        <w:spacing w:after="0" w:line="74"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In response to the coronavirus pandemic, we have undertaken a re-evaluation of our real estate needs. In connection with this re-evaluation, and the success we have had working remotely for the past several months, it is likely that we will significantly reduce or eliminate the real estate space we lease. This will likely result in various one-time cash expenses in connection with early termination of some or all of our leases.</w:t>
      </w:r>
    </w:p>
    <w:p>
      <w:pPr>
        <w:spacing w:after="0" w:line="72" w:lineRule="exact"/>
        <w:rPr>
          <w:sz w:val="20"/>
          <w:szCs w:val="20"/>
          <w:color w:val="auto"/>
        </w:rPr>
      </w:pPr>
    </w:p>
    <w:p>
      <w:pPr>
        <w:jc w:val="both"/>
        <w:ind w:firstLine="561"/>
        <w:spacing w:after="0" w:line="286" w:lineRule="auto"/>
        <w:rPr>
          <w:sz w:val="20"/>
          <w:szCs w:val="20"/>
          <w:color w:val="auto"/>
        </w:rPr>
      </w:pPr>
      <w:r>
        <w:rPr>
          <w:rFonts w:ascii="Arial" w:cs="Arial" w:eastAsia="Arial" w:hAnsi="Arial"/>
          <w:sz w:val="14"/>
          <w:szCs w:val="14"/>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Off-Balance 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do not engage in off-balance sheet financing arrangements.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60"/>
          </w:cols>
          <w:pgMar w:left="320" w:top="501" w:right="31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Risks</w:t>
      </w:r>
    </w:p>
    <w:p>
      <w:pPr>
        <w:spacing w:after="0" w:line="96" w:lineRule="exact"/>
        <w:rPr>
          <w:sz w:val="20"/>
          <w:szCs w:val="20"/>
          <w:color w:val="auto"/>
        </w:rPr>
      </w:pPr>
    </w:p>
    <w:p>
      <w:pPr>
        <w:jc w:val="both"/>
        <w:ind w:firstLine="561"/>
        <w:spacing w:after="0" w:line="285" w:lineRule="auto"/>
        <w:rPr>
          <w:sz w:val="20"/>
          <w:szCs w:val="20"/>
          <w:color w:val="auto"/>
        </w:rPr>
      </w:pPr>
      <w:r>
        <w:rPr>
          <w:rFonts w:ascii="Arial" w:cs="Arial" w:eastAsia="Arial" w:hAnsi="Arial"/>
          <w:sz w:val="14"/>
          <w:szCs w:val="14"/>
          <w:color w:val="auto"/>
        </w:rPr>
        <w:t>Our Israeli operations have currency rate fluctuation risk associated with the exchange rate movement of the U.S. dollar against the New Israeli Shekel (“NIS”). During the three months ended June 30, 2020, the U.S. dollar depreciated by approximately 6% as compared to the NIS and during the six months ended June 30, 2020, the U.S. dollar depreciated by approximately 1%. During the three and six months ended June 30, 2020, expenses generated by our Israeli operations totaled approximately $18.9 million and $37.2 million, respectively.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Collection Risks</w:t>
      </w:r>
    </w:p>
    <w:p>
      <w:pPr>
        <w:spacing w:after="0" w:line="96"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Our accounts receivable are subject, in the normal course of business, to collection risks. We regularly assess these risks and have established policies and business practices to protect against the adverse effects of collection risks. During the six months ended June 30, 2020, our allowance for doubtful accounts increased by $0.6 million to approximately $4.4 million. During the year ended December 31, 2019, we increased our allowance for doubtful accounts increased from $2.3 million to approximately $3.1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52" w:lineRule="exact"/>
        <w:rPr>
          <w:sz w:val="20"/>
          <w:szCs w:val="20"/>
          <w:color w:val="auto"/>
        </w:rPr>
      </w:pPr>
    </w:p>
    <w:p>
      <w:pPr>
        <w:jc w:val="both"/>
        <w:ind w:right="20" w:firstLine="561"/>
        <w:spacing w:after="0" w:line="289" w:lineRule="auto"/>
        <w:rPr>
          <w:sz w:val="20"/>
          <w:szCs w:val="20"/>
          <w:color w:val="auto"/>
        </w:rPr>
      </w:pPr>
      <w:r>
        <w:rPr>
          <w:rFonts w:ascii="Arial" w:cs="Arial" w:eastAsia="Arial" w:hAnsi="Arial"/>
          <w:sz w:val="14"/>
          <w:szCs w:val="14"/>
          <w:color w:val="auto"/>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customers or industry. Accounts receivable are written off against the allowance for uncollectible accounts when we determine amounts are no longer collectible.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96"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Our investments consist of cash and cash equivalents. Therefore, changes in the market’s interest rates do not affect in any material respect the value of the investments as recorded by us.</w:t>
      </w:r>
    </w:p>
    <w:p>
      <w:pPr>
        <w:spacing w:after="0" w:line="64"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In March 2019, we issued $230.0 million in aggregate principal amount of the Notes, as discussed in Note 8 to the Condensed Consolidated Financial Statements. As the Notes have a fixed annual interest rate, we have no financial and economic interest exposure associated with changes in interest rates. However, the fair value of the Notes changes when the market price of our stock fluctuates or interest rates change.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Risk</w:t>
      </w:r>
    </w:p>
    <w:p>
      <w:pPr>
        <w:spacing w:after="0" w:line="96" w:lineRule="exact"/>
        <w:rPr>
          <w:sz w:val="20"/>
          <w:szCs w:val="20"/>
          <w:color w:val="auto"/>
        </w:rPr>
      </w:pPr>
    </w:p>
    <w:p>
      <w:pPr>
        <w:jc w:val="both"/>
        <w:ind w:right="20" w:firstLine="561"/>
        <w:spacing w:after="0" w:line="253" w:lineRule="auto"/>
        <w:rPr>
          <w:sz w:val="20"/>
          <w:szCs w:val="20"/>
          <w:color w:val="auto"/>
        </w:rPr>
      </w:pPr>
      <w:r>
        <w:rPr>
          <w:rFonts w:ascii="Arial" w:cs="Arial" w:eastAsia="Arial" w:hAnsi="Arial"/>
          <w:sz w:val="16"/>
          <w:szCs w:val="16"/>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60"/>
          </w:cols>
          <w:pgMar w:left="320" w:top="497"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color w:val="auto"/>
        </w:rPr>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96"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4"/>
          <w:szCs w:val="14"/>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June 30, 2020. Based on that evaluation, the Chief Executive Officer and Chief Financial Officer concluded that our disclosure controls and procedures were effective as of June 30, 2020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96"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6"/>
          <w:szCs w:val="16"/>
          <w:color w:val="auto"/>
        </w:rPr>
        <w:t>There were no changes in our internal control over financial reporting during the quarter ended June 30, 2020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Limitations of the Effectiveness of Internal Control</w:t>
      </w:r>
    </w:p>
    <w:p>
      <w:pPr>
        <w:spacing w:after="0" w:line="96" w:lineRule="exact"/>
        <w:rPr>
          <w:sz w:val="20"/>
          <w:szCs w:val="20"/>
          <w:color w:val="auto"/>
        </w:rPr>
      </w:pPr>
    </w:p>
    <w:p>
      <w:pPr>
        <w:jc w:val="both"/>
        <w:ind w:right="20" w:firstLine="561"/>
        <w:spacing w:after="0" w:line="334" w:lineRule="auto"/>
        <w:rPr>
          <w:sz w:val="20"/>
          <w:szCs w:val="20"/>
          <w:color w:val="auto"/>
        </w:rPr>
      </w:pPr>
      <w:r>
        <w:rPr>
          <w:rFonts w:ascii="Arial" w:cs="Arial" w:eastAsia="Arial" w:hAnsi="Arial"/>
          <w:sz w:val="14"/>
          <w:szCs w:val="14"/>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Part II. Other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 xml:space="preserve">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our favor have invalidated the majority of [24]7 patents that were asserted in the patent cases. Trial for our intellectual property and other claims asserted against [24]7 in the original litigation was set for April 27, 2020, </w:t>
      </w:r>
      <w:r>
        <w:rPr>
          <w:rFonts w:ascii="Arial" w:cs="Arial" w:eastAsia="Arial" w:hAnsi="Arial"/>
          <w:sz w:val="14"/>
          <w:szCs w:val="14"/>
          <w:color w:val="212529"/>
        </w:rPr>
        <w:t>but that date was vacated due to court</w:t>
      </w:r>
      <w:r>
        <w:rPr>
          <w:rFonts w:ascii="Arial" w:cs="Arial" w:eastAsia="Arial" w:hAnsi="Arial"/>
          <w:sz w:val="14"/>
          <w:szCs w:val="14"/>
          <w:color w:val="auto"/>
        </w:rPr>
        <w:t xml:space="preserve"> </w:t>
      </w:r>
      <w:r>
        <w:rPr>
          <w:rFonts w:ascii="Arial" w:cs="Arial" w:eastAsia="Arial" w:hAnsi="Arial"/>
          <w:sz w:val="14"/>
          <w:szCs w:val="14"/>
          <w:color w:val="212529"/>
        </w:rPr>
        <w:t>restrictions related to COVID-19 and will be reset once those restrictions are lifted</w:t>
      </w:r>
      <w:r>
        <w:rPr>
          <w:rFonts w:ascii="Arial" w:cs="Arial" w:eastAsia="Arial" w:hAnsi="Arial"/>
          <w:sz w:val="14"/>
          <w:szCs w:val="14"/>
          <w:color w:val="000000"/>
        </w:rPr>
        <w:t>. Trial for [24]7’s patent infringement claims has been vacated, to be reset after the trial on</w:t>
      </w:r>
      <w:r>
        <w:rPr>
          <w:rFonts w:ascii="Arial" w:cs="Arial" w:eastAsia="Arial" w:hAnsi="Arial"/>
          <w:sz w:val="14"/>
          <w:szCs w:val="14"/>
          <w:color w:val="212529"/>
        </w:rPr>
        <w:t xml:space="preserve"> </w:t>
      </w:r>
      <w:r>
        <w:rPr>
          <w:rFonts w:ascii="Arial" w:cs="Arial" w:eastAsia="Arial" w:hAnsi="Arial"/>
          <w:sz w:val="14"/>
          <w:szCs w:val="14"/>
          <w:color w:val="000000"/>
        </w:rPr>
        <w:t>LivePerson’s claims. We believe the claims filed by [24]7 are entirely without merit and intend to defend them vigorously.</w:t>
      </w:r>
    </w:p>
    <w:p>
      <w:pPr>
        <w:spacing w:after="0" w:line="53" w:lineRule="exact"/>
        <w:rPr>
          <w:sz w:val="20"/>
          <w:szCs w:val="20"/>
          <w:color w:val="auto"/>
        </w:rPr>
      </w:pPr>
    </w:p>
    <w:p>
      <w:pPr>
        <w:jc w:val="both"/>
        <w:ind w:firstLine="561"/>
        <w:spacing w:after="0" w:line="263" w:lineRule="auto"/>
        <w:rPr>
          <w:sz w:val="20"/>
          <w:szCs w:val="20"/>
          <w:color w:val="auto"/>
        </w:rPr>
      </w:pPr>
      <w:r>
        <w:rPr>
          <w:rFonts w:ascii="Arial" w:cs="Arial" w:eastAsia="Arial" w:hAnsi="Arial"/>
          <w:sz w:val="16"/>
          <w:szCs w:val="16"/>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4" w:lineRule="exact"/>
        <w:rPr>
          <w:sz w:val="20"/>
          <w:szCs w:val="20"/>
          <w:color w:val="auto"/>
        </w:rPr>
      </w:pPr>
    </w:p>
    <w:p>
      <w:pPr>
        <w:jc w:val="both"/>
        <w:ind w:firstLine="561"/>
        <w:spacing w:after="0" w:line="284" w:lineRule="auto"/>
        <w:rPr>
          <w:sz w:val="20"/>
          <w:szCs w:val="20"/>
          <w:color w:val="auto"/>
        </w:rPr>
      </w:pPr>
      <w:r>
        <w:rPr>
          <w:rFonts w:ascii="Arial" w:cs="Arial" w:eastAsia="Arial" w:hAnsi="Arial"/>
          <w:sz w:val="14"/>
          <w:szCs w:val="14"/>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60"/>
          </w:cols>
          <w:pgMar w:left="320" w:top="501" w:right="319" w:bottom="1440" w:gutter="0" w:footer="0" w:header="0"/>
        </w:sectPr>
      </w:pPr>
    </w:p>
    <w:bookmarkStart w:id="54" w:name="page55"/>
    <w:bookmarkEnd w:id="54"/>
    <w:p>
      <w:pPr>
        <w:jc w:val="both"/>
        <w:ind w:firstLine="561"/>
        <w:spacing w:after="0" w:line="292" w:lineRule="auto"/>
        <w:rPr>
          <w:sz w:val="20"/>
          <w:szCs w:val="20"/>
          <w:color w:val="auto"/>
        </w:rPr>
      </w:pPr>
      <w:r>
        <w:rPr>
          <w:rFonts w:ascii="Arial" w:cs="Arial" w:eastAsia="Arial" w:hAnsi="Arial"/>
          <w:sz w:val="14"/>
          <w:szCs w:val="14"/>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Item 1A. Risk Factors</w:t>
      </w:r>
    </w:p>
    <w:p>
      <w:pPr>
        <w:spacing w:after="0" w:line="96" w:lineRule="exact"/>
        <w:rPr>
          <w:sz w:val="20"/>
          <w:szCs w:val="20"/>
          <w:color w:val="auto"/>
        </w:rPr>
      </w:pPr>
    </w:p>
    <w:p>
      <w:pPr>
        <w:jc w:val="both"/>
        <w:ind w:firstLine="561"/>
        <w:spacing w:after="0" w:line="306" w:lineRule="auto"/>
        <w:rPr>
          <w:sz w:val="20"/>
          <w:szCs w:val="20"/>
          <w:color w:val="auto"/>
        </w:rPr>
      </w:pPr>
      <w:r>
        <w:rPr>
          <w:rFonts w:ascii="Arial" w:cs="Arial" w:eastAsia="Arial" w:hAnsi="Arial"/>
          <w:sz w:val="14"/>
          <w:szCs w:val="14"/>
          <w:color w:val="auto"/>
        </w:rPr>
        <w:t>Our operations and financial results are subject to various risks and uncertainties, including those described in Part I, Item 1A. “Risk Factors” in our Annual Report on Form 10-K for the year ended December 31, 2019, filed on March 2, 2020, 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spacing w:after="0" w:line="132"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b w:val="1"/>
          <w:bCs w:val="1"/>
          <w:i w:val="1"/>
          <w:iCs w:val="1"/>
          <w:color w:val="auto"/>
        </w:rPr>
        <w:t>The ongoing coronavirus (COVID-19) pandemic and measures intended to prevent its spread could have a material adverse effect on our business, results of operations, cash flows, financial condition and/or stock price.</w:t>
      </w:r>
    </w:p>
    <w:p>
      <w:pPr>
        <w:spacing w:after="0" w:line="157" w:lineRule="exact"/>
        <w:rPr>
          <w:sz w:val="20"/>
          <w:szCs w:val="20"/>
          <w:color w:val="auto"/>
        </w:rPr>
      </w:pPr>
    </w:p>
    <w:p>
      <w:pPr>
        <w:jc w:val="both"/>
        <w:ind w:firstLine="561"/>
        <w:spacing w:after="0" w:line="285" w:lineRule="auto"/>
        <w:rPr>
          <w:sz w:val="20"/>
          <w:szCs w:val="20"/>
          <w:color w:val="auto"/>
        </w:rPr>
      </w:pPr>
      <w:r>
        <w:rPr>
          <w:rFonts w:ascii="Arial" w:cs="Arial" w:eastAsia="Arial" w:hAnsi="Arial"/>
          <w:sz w:val="14"/>
          <w:szCs w:val="14"/>
          <w:color w:val="auto"/>
        </w:rPr>
        <w:t>Our results of operations have been adversely affected and could in the future be materially adversely impacted by the coronavirus (COVID-19) pandemic. The global spread of the coronavirus (COVID-19) has created significant volatility and uncertainty and economic disruption. The extent to which the coronavirus pandemic impacts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impact of the pandemic on economic activity and actions taken in response; the effect on our clients and client demand for our services and solutions, including the potential lengthening of the sales cycle; our ability to sell and provide our services and solutions, including as a result of travel restrictions and people working from home; the ability of our clients to pay for our services and solutions; and any closures of our and our clients’ offices and facilities. Clients may also slow down decision making, delay planned work, seek to terminate existing agreements and/or delay payment terms. Any of these events or other currently unforeseen consequences of the coronavirus pandemic could cause or contribute to the risks and uncertainties enumerated in our Annual Report on Form 10-K, and could materially adversely affect our business, results of operations, cash flows, financial condition and/or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Unregistered Sales of Equity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unregistered sales of equity securities by the issuer during the three months ended June 30, 2020.</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of Equity Securities by the Issuer</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repurchases of equity securities by the issuer during the three months ended June 30, 2020.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Item 3. Defaults Upon Senior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Item 4. Mine Safety Disclosures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60"/>
          </w:cols>
          <w:pgMar w:left="320" w:top="501" w:right="319" w:bottom="1440" w:gutter="0" w:footer="0" w:header="0"/>
        </w:sectPr>
      </w:pPr>
    </w:p>
    <w:bookmarkStart w:id="55" w:name="page56"/>
    <w:bookmarkEnd w:id="55"/>
    <w:p>
      <w:pPr>
        <w:jc w:val="right"/>
        <w:ind w:right="3699"/>
        <w:spacing w:after="0"/>
        <w:rPr>
          <w:sz w:val="20"/>
          <w:szCs w:val="20"/>
          <w:color w:val="auto"/>
        </w:rPr>
      </w:pPr>
      <w:r>
        <w:rPr>
          <w:rFonts w:ascii="Arial" w:cs="Arial" w:eastAsia="Arial" w:hAnsi="Arial"/>
          <w:sz w:val="16"/>
          <w:szCs w:val="16"/>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7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9579"/>
          </w:cols>
          <w:pgMar w:left="880" w:top="501" w:right="1440" w:bottom="1440" w:gutter="0" w:footer="0" w:header="0"/>
        </w:sectPr>
      </w:pPr>
    </w:p>
    <w:bookmarkStart w:id="56" w:name="page57"/>
    <w:bookmarkEnd w:id="56"/>
    <w:tbl>
      <w:tblPr>
        <w:tblLayout w:type="fixed"/>
        <w:tblInd w:w="7" w:type="dxa"/>
        <w:tblCellMar>
          <w:top w:w="0" w:type="dxa"/>
          <w:left w:w="0" w:type="dxa"/>
          <w:bottom w:w="0" w:type="dxa"/>
          <w:right w:w="0" w:type="dxa"/>
        </w:tblCellMar>
      </w:tblPr>
      <w:tr>
        <w:trPr>
          <w:trHeight w:val="199"/>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3640"/>
              <w:spacing w:after="0"/>
              <w:rPr>
                <w:sz w:val="20"/>
                <w:szCs w:val="20"/>
                <w:color w:val="auto"/>
              </w:rPr>
            </w:pPr>
            <w:r>
              <w:rPr>
                <w:rFonts w:ascii="Arial" w:cs="Arial" w:eastAsia="Arial" w:hAnsi="Arial"/>
                <w:sz w:val="16"/>
                <w:szCs w:val="16"/>
                <w:color w:val="auto"/>
              </w:rPr>
              <w:t>ITEM 6. EXHIBITS</w:t>
            </w:r>
          </w:p>
        </w:tc>
        <w:tc>
          <w:tcPr>
            <w:tcW w:w="0" w:type="dxa"/>
            <w:vAlign w:val="bottom"/>
          </w:tcPr>
          <w:p>
            <w:pPr>
              <w:spacing w:after="0"/>
              <w:rPr>
                <w:sz w:val="1"/>
                <w:szCs w:val="1"/>
                <w:color w:val="auto"/>
              </w:rPr>
            </w:pPr>
          </w:p>
        </w:tc>
      </w:tr>
      <w:tr>
        <w:trPr>
          <w:trHeight w:val="701"/>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9"/>
              </w:rPr>
              <w:t>31.1</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rFonts w:ascii="Arial" w:cs="Arial" w:eastAsia="Arial" w:hAnsi="Arial"/>
                <w:sz w:val="16"/>
                <w:szCs w:val="16"/>
                <w:u w:val="single" w:color="auto"/>
                <w:color w:val="0000FF"/>
                <w:w w:val="89"/>
              </w:rPr>
            </w:pPr>
            <w:hyperlink w:anchor="page59">
              <w:r>
                <w:rPr>
                  <w:rFonts w:ascii="Arial" w:cs="Arial" w:eastAsia="Arial" w:hAnsi="Arial"/>
                  <w:sz w:val="16"/>
                  <w:szCs w:val="16"/>
                  <w:u w:val="single" w:color="auto"/>
                  <w:color w:val="0000FF"/>
                  <w:w w:val="89"/>
                </w:rPr>
                <w:t>Certification by Chief Executive Officer pursuant to Exchange Act Rule 13a-14(a), as adopted pursuant to Section 302 of the Sarbanes-Oxley Act of 2002</w:t>
              </w:r>
            </w:hyperlink>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20" w:type="dxa"/>
            <w:vAlign w:val="bottom"/>
            <w:shd w:val="clear" w:color="auto" w:fill="CCFFCC"/>
          </w:tcPr>
          <w:p>
            <w:pPr>
              <w:spacing w:after="0"/>
              <w:rPr>
                <w:sz w:val="22"/>
                <w:szCs w:val="22"/>
                <w:color w:val="auto"/>
              </w:rPr>
            </w:pPr>
          </w:p>
        </w:tc>
        <w:tc>
          <w:tcPr>
            <w:tcW w:w="420" w:type="dxa"/>
            <w:vAlign w:val="bottom"/>
            <w:shd w:val="clear" w:color="auto" w:fill="CCFFCC"/>
          </w:tcPr>
          <w:p>
            <w:pPr>
              <w:spacing w:after="0"/>
              <w:rPr>
                <w:sz w:val="22"/>
                <w:szCs w:val="22"/>
                <w:color w:val="auto"/>
              </w:rPr>
            </w:pPr>
          </w:p>
        </w:tc>
        <w:tc>
          <w:tcPr>
            <w:tcW w:w="986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9"/>
              </w:rPr>
              <w:t>31.2</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rFonts w:ascii="Arial" w:cs="Arial" w:eastAsia="Arial" w:hAnsi="Arial"/>
                <w:sz w:val="16"/>
                <w:szCs w:val="16"/>
                <w:u w:val="single" w:color="auto"/>
                <w:color w:val="0000FF"/>
                <w:w w:val="90"/>
              </w:rPr>
            </w:pPr>
            <w:hyperlink w:anchor="page60">
              <w:r>
                <w:rPr>
                  <w:rFonts w:ascii="Arial" w:cs="Arial" w:eastAsia="Arial" w:hAnsi="Arial"/>
                  <w:sz w:val="16"/>
                  <w:szCs w:val="16"/>
                  <w:u w:val="single" w:color="auto"/>
                  <w:color w:val="0000FF"/>
                  <w:w w:val="90"/>
                </w:rPr>
                <w:t>Certification by Chief Financial Officer pursuant to Exchange Act Rule 13a-14(a), as adopted pursuant to Section 302 of the Sarbanes-Oxley Act of 2002</w:t>
              </w:r>
            </w:hyperlink>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9"/>
              </w:rPr>
              <w:t>32.1</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rFonts w:ascii="Arial" w:cs="Arial" w:eastAsia="Arial" w:hAnsi="Arial"/>
                <w:sz w:val="16"/>
                <w:szCs w:val="16"/>
                <w:u w:val="single" w:color="auto"/>
                <w:color w:val="0000FF"/>
                <w:w w:val="93"/>
              </w:rPr>
            </w:pPr>
            <w:hyperlink w:anchor="page61">
              <w:r>
                <w:rPr>
                  <w:rFonts w:ascii="Arial" w:cs="Arial" w:eastAsia="Arial" w:hAnsi="Arial"/>
                  <w:sz w:val="16"/>
                  <w:szCs w:val="16"/>
                  <w:u w:val="single" w:color="auto"/>
                  <w:color w:val="0000FF"/>
                  <w:w w:val="93"/>
                </w:rPr>
                <w:t>Certification by Chief Executive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9"/>
              </w:rPr>
              <w:t>32.2</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rFonts w:ascii="Arial" w:cs="Arial" w:eastAsia="Arial" w:hAnsi="Arial"/>
                <w:sz w:val="16"/>
                <w:szCs w:val="16"/>
                <w:u w:val="single" w:color="auto"/>
                <w:color w:val="0000FF"/>
                <w:w w:val="93"/>
              </w:rPr>
            </w:pPr>
            <w:hyperlink w:anchor="page62">
              <w:r>
                <w:rPr>
                  <w:rFonts w:ascii="Arial" w:cs="Arial" w:eastAsia="Arial" w:hAnsi="Arial"/>
                  <w:sz w:val="16"/>
                  <w:szCs w:val="16"/>
                  <w:u w:val="single" w:color="auto"/>
                  <w:color w:val="0000FF"/>
                  <w:w w:val="93"/>
                </w:rPr>
                <w:t>Certification by Chief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20" w:type="dxa"/>
            <w:vAlign w:val="bottom"/>
            <w:vMerge w:val="restart"/>
          </w:tcPr>
          <w:p>
            <w:pPr>
              <w:jc w:val="center"/>
              <w:ind w:left="2"/>
              <w:spacing w:after="0"/>
              <w:rPr>
                <w:sz w:val="20"/>
                <w:szCs w:val="20"/>
                <w:color w:val="auto"/>
              </w:rPr>
            </w:pPr>
            <w:r>
              <w:rPr>
                <w:rFonts w:ascii="Arial" w:cs="Arial" w:eastAsia="Arial" w:hAnsi="Arial"/>
                <w:sz w:val="16"/>
                <w:szCs w:val="16"/>
                <w:color w:val="auto"/>
                <w:w w:val="89"/>
              </w:rPr>
              <w:t>101.INS</w:t>
            </w:r>
          </w:p>
        </w:tc>
        <w:tc>
          <w:tcPr>
            <w:tcW w:w="420" w:type="dxa"/>
            <w:vAlign w:val="bottom"/>
          </w:tcPr>
          <w:p>
            <w:pPr>
              <w:spacing w:after="0"/>
              <w:rPr>
                <w:sz w:val="17"/>
                <w:szCs w:val="17"/>
                <w:color w:val="auto"/>
              </w:rPr>
            </w:pPr>
          </w:p>
        </w:tc>
        <w:tc>
          <w:tcPr>
            <w:tcW w:w="9860" w:type="dxa"/>
            <w:vAlign w:val="bottom"/>
          </w:tcPr>
          <w:p>
            <w:pPr>
              <w:ind w:left="140"/>
              <w:spacing w:after="0"/>
              <w:rPr>
                <w:sz w:val="20"/>
                <w:szCs w:val="20"/>
                <w:color w:val="auto"/>
              </w:rPr>
            </w:pPr>
            <w:r>
              <w:rPr>
                <w:rFonts w:ascii="Arial" w:cs="Arial" w:eastAsia="Arial" w:hAnsi="Arial"/>
                <w:sz w:val="16"/>
                <w:szCs w:val="16"/>
                <w:color w:val="auto"/>
                <w:w w:val="90"/>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60"/>
        </w:trPr>
        <w:tc>
          <w:tcPr>
            <w:tcW w:w="920" w:type="dxa"/>
            <w:vAlign w:val="bottom"/>
            <w:vMerge w:val="continue"/>
          </w:tcPr>
          <w:p>
            <w:pPr>
              <w:spacing w:after="0"/>
              <w:rPr>
                <w:sz w:val="5"/>
                <w:szCs w:val="5"/>
                <w:color w:val="auto"/>
              </w:rPr>
            </w:pPr>
          </w:p>
        </w:tc>
        <w:tc>
          <w:tcPr>
            <w:tcW w:w="4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860" w:type="dxa"/>
            <w:vAlign w:val="bottom"/>
            <w:vMerge w:val="restart"/>
          </w:tcPr>
          <w:p>
            <w:pPr>
              <w:ind w:left="140"/>
              <w:spacing w:after="0"/>
              <w:rPr>
                <w:sz w:val="20"/>
                <w:szCs w:val="20"/>
                <w:color w:val="auto"/>
              </w:rPr>
            </w:pPr>
            <w:r>
              <w:rPr>
                <w:rFonts w:ascii="Arial" w:cs="Arial" w:eastAsia="Arial" w:hAnsi="Arial"/>
                <w:sz w:val="16"/>
                <w:szCs w:val="16"/>
                <w:color w:val="auto"/>
              </w:rPr>
              <w:t>Inline XBRL document</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6"/>
              </w:rPr>
              <w:t>101.SCH</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96"/>
              </w:rPr>
              <w:t>101.CAL</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8"/>
              </w:rPr>
              <w:t>101.DEF</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97"/>
              </w:rPr>
              <w:t>101.LAB</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left="2"/>
              <w:spacing w:after="0"/>
              <w:rPr>
                <w:sz w:val="20"/>
                <w:szCs w:val="20"/>
                <w:color w:val="auto"/>
              </w:rPr>
            </w:pPr>
            <w:r>
              <w:rPr>
                <w:rFonts w:ascii="Arial" w:cs="Arial" w:eastAsia="Arial" w:hAnsi="Arial"/>
                <w:sz w:val="16"/>
                <w:szCs w:val="16"/>
                <w:color w:val="auto"/>
                <w:w w:val="87"/>
              </w:rPr>
              <w:t>101.PRE</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9860" w:type="dxa"/>
            <w:vAlign w:val="bottom"/>
          </w:tcPr>
          <w:p>
            <w:pPr>
              <w:ind w:left="14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4"/>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98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7" w:right="5900" w:firstLine="385"/>
        <w:spacing w:after="0" w:line="380" w:lineRule="auto"/>
        <w:tabs>
          <w:tab w:leader="none" w:pos="1046" w:val="left"/>
        </w:tabs>
        <w:numPr>
          <w:ilvl w:val="1"/>
          <w:numId w:val="29"/>
        </w:numPr>
        <w:rPr>
          <w:rFonts w:ascii="Arial" w:cs="Arial" w:eastAsia="Arial" w:hAnsi="Arial"/>
          <w:sz w:val="16"/>
          <w:szCs w:val="16"/>
          <w:color w:val="auto"/>
        </w:rPr>
      </w:pPr>
      <w:r>
        <w:rPr>
          <w:rFonts w:ascii="Arial" w:cs="Arial" w:eastAsia="Arial" w:hAnsi="Arial"/>
          <w:sz w:val="16"/>
          <w:szCs w:val="16"/>
          <w:color w:val="auto"/>
        </w:rPr>
        <w:t>* Cover Page Interactive Data File (formatted as Inline XBRL) * Filed herewith</w:t>
      </w:r>
    </w:p>
    <w:p>
      <w:pPr>
        <w:spacing w:after="0" w:line="1" w:lineRule="exact"/>
        <w:rPr>
          <w:rFonts w:ascii="Arial" w:cs="Arial" w:eastAsia="Arial" w:hAnsi="Arial"/>
          <w:sz w:val="16"/>
          <w:szCs w:val="16"/>
          <w:color w:val="auto"/>
        </w:rPr>
      </w:pPr>
    </w:p>
    <w:p>
      <w:pPr>
        <w:ind w:left="307" w:hanging="307"/>
        <w:spacing w:after="0"/>
        <w:tabs>
          <w:tab w:leader="none" w:pos="3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07"/>
          </w:cols>
          <w:pgMar w:left="313" w:top="501" w:right="379" w:bottom="1440" w:gutter="0" w:footer="0" w:header="0"/>
        </w:sectPr>
      </w:pPr>
    </w:p>
    <w:bookmarkStart w:id="57" w:name="page58"/>
    <w:bookmarkEnd w:id="57"/>
    <w:p>
      <w:pPr>
        <w:jc w:val="center"/>
        <w:ind w:right="-199"/>
        <w:spacing w:after="0"/>
        <w:rPr>
          <w:sz w:val="20"/>
          <w:szCs w:val="20"/>
          <w:color w:val="auto"/>
        </w:rPr>
      </w:pPr>
      <w:r>
        <w:rPr>
          <w:rFonts w:ascii="Arial" w:cs="Arial" w:eastAsia="Arial" w:hAnsi="Arial"/>
          <w:sz w:val="16"/>
          <w:szCs w:val="16"/>
          <w:b w:val="1"/>
          <w:bCs w:val="1"/>
          <w:color w:val="auto"/>
        </w:rPr>
        <w:t>SIGNATURES</w:t>
      </w:r>
    </w:p>
    <w:p>
      <w:pPr>
        <w:spacing w:after="0" w:line="100" w:lineRule="exact"/>
        <w:rPr>
          <w:sz w:val="20"/>
          <w:szCs w:val="20"/>
          <w:color w:val="auto"/>
        </w:rPr>
      </w:pPr>
    </w:p>
    <w:p>
      <w:pPr>
        <w:ind w:firstLine="561"/>
        <w:spacing w:after="0" w:line="263"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720" w:type="dxa"/>
            <w:vAlign w:val="bottom"/>
            <w:gridSpan w:val="2"/>
          </w:tcPr>
          <w:p>
            <w:pPr>
              <w:ind w:left="1680"/>
              <w:spacing w:after="0"/>
              <w:rPr>
                <w:sz w:val="20"/>
                <w:szCs w:val="20"/>
                <w:color w:val="auto"/>
              </w:rPr>
            </w:pPr>
            <w:r>
              <w:rPr>
                <w:rFonts w:ascii="Arial" w:cs="Arial" w:eastAsia="Arial" w:hAnsi="Arial"/>
                <w:sz w:val="16"/>
                <w:szCs w:val="16"/>
                <w:b w:val="1"/>
                <w:bCs w:val="1"/>
                <w:color w:val="auto"/>
              </w:rPr>
              <w:t>LIVEPERSON, INC.</w:t>
            </w:r>
          </w:p>
        </w:tc>
      </w:tr>
      <w:tr>
        <w:trPr>
          <w:trHeight w:val="234"/>
        </w:trPr>
        <w:tc>
          <w:tcPr>
            <w:tcW w:w="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20" w:type="dxa"/>
            <w:vAlign w:val="bottom"/>
          </w:tcPr>
          <w:p>
            <w:pPr>
              <w:ind w:left="1680"/>
              <w:spacing w:after="0"/>
              <w:rPr>
                <w:sz w:val="20"/>
                <w:szCs w:val="20"/>
                <w:color w:val="auto"/>
              </w:rPr>
            </w:pPr>
            <w:r>
              <w:rPr>
                <w:rFonts w:ascii="Arial" w:cs="Arial" w:eastAsia="Arial" w:hAnsi="Arial"/>
                <w:sz w:val="16"/>
                <w:szCs w:val="16"/>
                <w:color w:val="auto"/>
                <w:w w:val="98"/>
              </w:rPr>
              <w:t>(Registrant)</w:t>
            </w:r>
          </w:p>
        </w:tc>
        <w:tc>
          <w:tcPr>
            <w:tcW w:w="5200" w:type="dxa"/>
            <w:vAlign w:val="bottom"/>
          </w:tcPr>
          <w:p>
            <w:pPr>
              <w:spacing w:after="0"/>
              <w:rPr>
                <w:sz w:val="20"/>
                <w:szCs w:val="20"/>
                <w:color w:val="auto"/>
              </w:rPr>
            </w:pPr>
          </w:p>
        </w:tc>
      </w:tr>
      <w:tr>
        <w:trPr>
          <w:trHeight w:val="467"/>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2800" w:type="dxa"/>
            <w:vAlign w:val="bottom"/>
          </w:tcPr>
          <w:p>
            <w:pPr>
              <w:ind w:left="160"/>
              <w:spacing w:after="0"/>
              <w:rPr>
                <w:sz w:val="20"/>
                <w:szCs w:val="20"/>
                <w:color w:val="auto"/>
              </w:rPr>
            </w:pPr>
            <w:r>
              <w:rPr>
                <w:rFonts w:ascii="Arial" w:cs="Arial" w:eastAsia="Arial" w:hAnsi="Arial"/>
                <w:sz w:val="16"/>
                <w:szCs w:val="16"/>
                <w:color w:val="auto"/>
              </w:rPr>
              <w:t>August 7, 2020</w:t>
            </w:r>
          </w:p>
        </w:tc>
        <w:tc>
          <w:tcPr>
            <w:tcW w:w="2520" w:type="dxa"/>
            <w:vAlign w:val="bottom"/>
          </w:tcPr>
          <w:p>
            <w:pPr>
              <w:ind w:left="1680"/>
              <w:spacing w:after="0"/>
              <w:rPr>
                <w:sz w:val="20"/>
                <w:szCs w:val="20"/>
                <w:color w:val="auto"/>
              </w:rPr>
            </w:pPr>
            <w:r>
              <w:rPr>
                <w:rFonts w:ascii="Arial" w:cs="Arial" w:eastAsia="Arial" w:hAnsi="Arial"/>
                <w:sz w:val="16"/>
                <w:szCs w:val="16"/>
                <w:color w:val="auto"/>
              </w:rPr>
              <w:t>By:</w:t>
            </w:r>
          </w:p>
        </w:tc>
        <w:tc>
          <w:tcPr>
            <w:tcW w:w="5200" w:type="dxa"/>
            <w:vAlign w:val="bottom"/>
          </w:tcPr>
          <w:p>
            <w:pPr>
              <w:ind w:left="20"/>
              <w:spacing w:after="0"/>
              <w:rPr>
                <w:sz w:val="20"/>
                <w:szCs w:val="20"/>
                <w:color w:val="auto"/>
              </w:rPr>
            </w:pPr>
            <w:r>
              <w:rPr>
                <w:rFonts w:ascii="Arial" w:cs="Arial" w:eastAsia="Arial" w:hAnsi="Arial"/>
                <w:sz w:val="16"/>
                <w:szCs w:val="16"/>
                <w:color w:val="auto"/>
              </w:rPr>
              <w:t>/s/ ROBERT P. LOCASCIO</w:t>
            </w:r>
          </w:p>
        </w:tc>
      </w:tr>
      <w:tr>
        <w:trPr>
          <w:trHeight w:val="24"/>
        </w:trPr>
        <w:tc>
          <w:tcPr>
            <w:tcW w:w="5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01"/>
        </w:trPr>
        <w:tc>
          <w:tcPr>
            <w:tcW w:w="5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20" w:type="dxa"/>
            <w:vAlign w:val="bottom"/>
          </w:tcPr>
          <w:p>
            <w:pPr>
              <w:ind w:left="1680"/>
              <w:spacing w:after="0"/>
              <w:rPr>
                <w:sz w:val="20"/>
                <w:szCs w:val="20"/>
                <w:color w:val="auto"/>
              </w:rPr>
            </w:pPr>
            <w:r>
              <w:rPr>
                <w:rFonts w:ascii="Arial" w:cs="Arial" w:eastAsia="Arial" w:hAnsi="Arial"/>
                <w:sz w:val="16"/>
                <w:szCs w:val="16"/>
                <w:color w:val="auto"/>
              </w:rPr>
              <w:t>Name:</w:t>
            </w:r>
          </w:p>
        </w:tc>
        <w:tc>
          <w:tcPr>
            <w:tcW w:w="5200" w:type="dxa"/>
            <w:vAlign w:val="bottom"/>
          </w:tcPr>
          <w:p>
            <w:pPr>
              <w:ind w:left="20"/>
              <w:spacing w:after="0"/>
              <w:rPr>
                <w:sz w:val="20"/>
                <w:szCs w:val="20"/>
                <w:color w:val="auto"/>
              </w:rPr>
            </w:pPr>
            <w:r>
              <w:rPr>
                <w:rFonts w:ascii="Arial" w:cs="Arial" w:eastAsia="Arial" w:hAnsi="Arial"/>
                <w:sz w:val="16"/>
                <w:szCs w:val="16"/>
                <w:color w:val="auto"/>
              </w:rPr>
              <w:t>Robert P. LoCascio</w:t>
            </w:r>
          </w:p>
        </w:tc>
      </w:tr>
      <w:tr>
        <w:trPr>
          <w:trHeight w:val="234"/>
        </w:trPr>
        <w:tc>
          <w:tcPr>
            <w:tcW w:w="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20" w:type="dxa"/>
            <w:vAlign w:val="bottom"/>
          </w:tcPr>
          <w:p>
            <w:pPr>
              <w:ind w:left="1680"/>
              <w:spacing w:after="0"/>
              <w:rPr>
                <w:sz w:val="20"/>
                <w:szCs w:val="20"/>
                <w:color w:val="auto"/>
              </w:rPr>
            </w:pPr>
            <w:r>
              <w:rPr>
                <w:rFonts w:ascii="Arial" w:cs="Arial" w:eastAsia="Arial" w:hAnsi="Arial"/>
                <w:sz w:val="16"/>
                <w:szCs w:val="16"/>
                <w:color w:val="auto"/>
              </w:rPr>
              <w:t>Title:</w:t>
            </w:r>
          </w:p>
        </w:tc>
        <w:tc>
          <w:tcPr>
            <w:tcW w:w="5200" w:type="dxa"/>
            <w:vAlign w:val="bottom"/>
          </w:tcPr>
          <w:p>
            <w:pPr>
              <w:ind w:left="20"/>
              <w:spacing w:after="0"/>
              <w:rPr>
                <w:sz w:val="20"/>
                <w:szCs w:val="20"/>
                <w:color w:val="auto"/>
              </w:rPr>
            </w:pPr>
            <w:r>
              <w:rPr>
                <w:rFonts w:ascii="Arial" w:cs="Arial" w:eastAsia="Arial" w:hAnsi="Arial"/>
                <w:sz w:val="16"/>
                <w:szCs w:val="16"/>
                <w:color w:val="auto"/>
              </w:rPr>
              <w:t>Chief Executive Officer (principal executive officer)</w:t>
            </w:r>
          </w:p>
        </w:tc>
      </w:tr>
      <w:tr>
        <w:trPr>
          <w:trHeight w:val="467"/>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2800" w:type="dxa"/>
            <w:vAlign w:val="bottom"/>
          </w:tcPr>
          <w:p>
            <w:pPr>
              <w:ind w:left="160"/>
              <w:spacing w:after="0"/>
              <w:rPr>
                <w:sz w:val="20"/>
                <w:szCs w:val="20"/>
                <w:color w:val="auto"/>
              </w:rPr>
            </w:pPr>
            <w:r>
              <w:rPr>
                <w:rFonts w:ascii="Arial" w:cs="Arial" w:eastAsia="Arial" w:hAnsi="Arial"/>
                <w:sz w:val="16"/>
                <w:szCs w:val="16"/>
                <w:color w:val="auto"/>
              </w:rPr>
              <w:t>August 7, 2020</w:t>
            </w:r>
          </w:p>
        </w:tc>
        <w:tc>
          <w:tcPr>
            <w:tcW w:w="2520" w:type="dxa"/>
            <w:vAlign w:val="bottom"/>
          </w:tcPr>
          <w:p>
            <w:pPr>
              <w:ind w:left="1680"/>
              <w:spacing w:after="0"/>
              <w:rPr>
                <w:sz w:val="20"/>
                <w:szCs w:val="20"/>
                <w:color w:val="auto"/>
              </w:rPr>
            </w:pPr>
            <w:r>
              <w:rPr>
                <w:rFonts w:ascii="Arial" w:cs="Arial" w:eastAsia="Arial" w:hAnsi="Arial"/>
                <w:sz w:val="16"/>
                <w:szCs w:val="16"/>
                <w:color w:val="auto"/>
              </w:rPr>
              <w:t>By:</w:t>
            </w:r>
          </w:p>
        </w:tc>
        <w:tc>
          <w:tcPr>
            <w:tcW w:w="5200" w:type="dxa"/>
            <w:vAlign w:val="bottom"/>
          </w:tcPr>
          <w:p>
            <w:pPr>
              <w:ind w:left="20"/>
              <w:spacing w:after="0"/>
              <w:rPr>
                <w:sz w:val="20"/>
                <w:szCs w:val="20"/>
                <w:color w:val="auto"/>
              </w:rPr>
            </w:pPr>
            <w:r>
              <w:rPr>
                <w:rFonts w:ascii="Arial" w:cs="Arial" w:eastAsia="Arial" w:hAnsi="Arial"/>
                <w:sz w:val="16"/>
                <w:szCs w:val="16"/>
                <w:color w:val="auto"/>
              </w:rPr>
              <w:t>/s/ JOHN COLLINS</w:t>
            </w:r>
          </w:p>
        </w:tc>
      </w:tr>
      <w:tr>
        <w:trPr>
          <w:trHeight w:val="24"/>
        </w:trPr>
        <w:tc>
          <w:tcPr>
            <w:tcW w:w="5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01"/>
        </w:trPr>
        <w:tc>
          <w:tcPr>
            <w:tcW w:w="5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20" w:type="dxa"/>
            <w:vAlign w:val="bottom"/>
          </w:tcPr>
          <w:p>
            <w:pPr>
              <w:ind w:left="1680"/>
              <w:spacing w:after="0"/>
              <w:rPr>
                <w:sz w:val="20"/>
                <w:szCs w:val="20"/>
                <w:color w:val="auto"/>
              </w:rPr>
            </w:pPr>
            <w:r>
              <w:rPr>
                <w:rFonts w:ascii="Arial" w:cs="Arial" w:eastAsia="Arial" w:hAnsi="Arial"/>
                <w:sz w:val="16"/>
                <w:szCs w:val="16"/>
                <w:color w:val="auto"/>
              </w:rPr>
              <w:t>Name:</w:t>
            </w:r>
          </w:p>
        </w:tc>
        <w:tc>
          <w:tcPr>
            <w:tcW w:w="5200" w:type="dxa"/>
            <w:vAlign w:val="bottom"/>
          </w:tcPr>
          <w:p>
            <w:pPr>
              <w:ind w:left="20"/>
              <w:spacing w:after="0"/>
              <w:rPr>
                <w:sz w:val="20"/>
                <w:szCs w:val="20"/>
                <w:color w:val="auto"/>
              </w:rPr>
            </w:pPr>
            <w:r>
              <w:rPr>
                <w:rFonts w:ascii="Arial" w:cs="Arial" w:eastAsia="Arial" w:hAnsi="Arial"/>
                <w:sz w:val="16"/>
                <w:szCs w:val="16"/>
                <w:color w:val="auto"/>
              </w:rPr>
              <w:t>John Collins</w:t>
            </w:r>
          </w:p>
        </w:tc>
      </w:tr>
      <w:tr>
        <w:trPr>
          <w:trHeight w:val="234"/>
        </w:trPr>
        <w:tc>
          <w:tcPr>
            <w:tcW w:w="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20" w:type="dxa"/>
            <w:vAlign w:val="bottom"/>
          </w:tcPr>
          <w:p>
            <w:pPr>
              <w:ind w:left="1680"/>
              <w:spacing w:after="0"/>
              <w:rPr>
                <w:sz w:val="20"/>
                <w:szCs w:val="20"/>
                <w:color w:val="auto"/>
              </w:rPr>
            </w:pPr>
            <w:r>
              <w:rPr>
                <w:rFonts w:ascii="Arial" w:cs="Arial" w:eastAsia="Arial" w:hAnsi="Arial"/>
                <w:sz w:val="16"/>
                <w:szCs w:val="16"/>
                <w:color w:val="auto"/>
              </w:rPr>
              <w:t>Title:</w:t>
            </w:r>
          </w:p>
        </w:tc>
        <w:tc>
          <w:tcPr>
            <w:tcW w:w="520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r>
      <w:tr>
        <w:trPr>
          <w:trHeight w:val="491"/>
        </w:trPr>
        <w:tc>
          <w:tcPr>
            <w:tcW w:w="5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20" w:type="dxa"/>
            <w:vAlign w:val="bottom"/>
          </w:tcPr>
          <w:p>
            <w:pPr>
              <w:ind w:left="2220"/>
              <w:spacing w:after="0"/>
              <w:rPr>
                <w:sz w:val="20"/>
                <w:szCs w:val="20"/>
                <w:color w:val="auto"/>
              </w:rPr>
            </w:pPr>
            <w:r>
              <w:rPr>
                <w:rFonts w:ascii="Arial" w:cs="Arial" w:eastAsia="Arial" w:hAnsi="Arial"/>
                <w:sz w:val="16"/>
                <w:szCs w:val="16"/>
                <w:color w:val="auto"/>
              </w:rPr>
              <w:t>57</w:t>
            </w:r>
          </w:p>
        </w:tc>
        <w:tc>
          <w:tcPr>
            <w:tcW w:w="5200" w:type="dxa"/>
            <w:vAlign w:val="bottom"/>
          </w:tcPr>
          <w:p>
            <w:pPr>
              <w:spacing w:after="0"/>
              <w:rPr>
                <w:sz w:val="24"/>
                <w:szCs w:val="24"/>
                <w:color w:val="auto"/>
              </w:rPr>
            </w:pPr>
          </w:p>
        </w:tc>
      </w:tr>
    </w:tbl>
    <w:p>
      <w:pPr>
        <w:sectPr>
          <w:pgSz w:w="11900" w:h="16838" w:orient="portrait"/>
          <w:cols w:equalWidth="0" w:num="1">
            <w:col w:w="11060"/>
          </w:cols>
          <w:pgMar w:left="320" w:top="497" w:right="51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u w:val="single" w:color="auto"/>
          <w:color w:val="auto"/>
        </w:rPr>
        <w:t>Exhibit 31.1</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CERTIFICATIONS</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6"/>
          <w:szCs w:val="16"/>
          <w:color w:val="auto"/>
        </w:rPr>
        <w:t>I, Robert P. LoCascio, certify that:</w:t>
      </w:r>
    </w:p>
    <w:p>
      <w:pPr>
        <w:spacing w:after="0" w:line="143" w:lineRule="exact"/>
        <w:rPr>
          <w:sz w:val="20"/>
          <w:szCs w:val="20"/>
          <w:color w:val="auto"/>
        </w:rPr>
      </w:pPr>
    </w:p>
    <w:p>
      <w:pPr>
        <w:ind w:left="287" w:hanging="287"/>
        <w:spacing w:after="0"/>
        <w:tabs>
          <w:tab w:leader="none" w:pos="2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LivePerson, Inc.;</w:t>
      </w:r>
    </w:p>
    <w:p>
      <w:pPr>
        <w:spacing w:after="0" w:line="143" w:lineRule="exact"/>
        <w:rPr>
          <w:rFonts w:ascii="Arial" w:cs="Arial" w:eastAsia="Arial" w:hAnsi="Arial"/>
          <w:sz w:val="16"/>
          <w:szCs w:val="16"/>
          <w:color w:val="auto"/>
        </w:rPr>
      </w:pPr>
    </w:p>
    <w:p>
      <w:pPr>
        <w:ind w:left="287" w:right="160" w:hanging="287"/>
        <w:spacing w:after="0" w:line="334" w:lineRule="auto"/>
        <w:tabs>
          <w:tab w:leader="none" w:pos="287"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4"/>
          <w:szCs w:val="14"/>
          <w:color w:val="auto"/>
        </w:rPr>
      </w:pPr>
    </w:p>
    <w:p>
      <w:pPr>
        <w:ind w:left="287" w:right="40" w:hanging="287"/>
        <w:spacing w:after="0" w:line="263" w:lineRule="auto"/>
        <w:tabs>
          <w:tab w:leader="none" w:pos="2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Arial" w:cs="Arial" w:eastAsia="Arial" w:hAnsi="Arial"/>
          <w:sz w:val="16"/>
          <w:szCs w:val="16"/>
          <w:color w:val="auto"/>
        </w:rPr>
      </w:pPr>
    </w:p>
    <w:p>
      <w:pPr>
        <w:ind w:left="287" w:right="300" w:hanging="287"/>
        <w:spacing w:after="0" w:line="334" w:lineRule="auto"/>
        <w:tabs>
          <w:tab w:leader="none" w:pos="287"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sz w:val="20"/>
          <w:szCs w:val="20"/>
          <w:color w:val="auto"/>
        </w:rPr>
      </w:pPr>
    </w:p>
    <w:p>
      <w:pPr>
        <w:jc w:val="both"/>
        <w:ind w:left="287" w:right="80" w:hanging="287"/>
        <w:spacing w:after="0" w:line="253" w:lineRule="auto"/>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287" w:right="320" w:hanging="287"/>
        <w:spacing w:after="0" w:line="253" w:lineRule="auto"/>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left="287" w:right="140" w:hanging="287"/>
        <w:spacing w:after="0" w:line="263" w:lineRule="auto"/>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287" w:right="280" w:hanging="287"/>
        <w:spacing w:after="0" w:line="253" w:lineRule="auto"/>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ind w:left="287" w:right="140" w:hanging="287"/>
        <w:spacing w:after="0" w:line="263" w:lineRule="auto"/>
        <w:tabs>
          <w:tab w:leader="none" w:pos="2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left="287" w:right="260" w:hanging="287"/>
        <w:spacing w:after="0" w:line="263" w:lineRule="auto"/>
        <w:tabs>
          <w:tab w:leader="none" w:pos="2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287" w:hanging="287"/>
        <w:spacing w:after="0"/>
        <w:tabs>
          <w:tab w:leader="none" w:pos="28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36" w:lineRule="exact"/>
        <w:rPr>
          <w:sz w:val="20"/>
          <w:szCs w:val="20"/>
          <w:color w:val="auto"/>
        </w:rPr>
      </w:pPr>
    </w:p>
    <w:tbl>
      <w:tblPr>
        <w:tblLayout w:type="fixed"/>
        <w:tblInd w:w="87" w:type="dxa"/>
        <w:tblCellMar>
          <w:top w:w="0" w:type="dxa"/>
          <w:left w:w="0" w:type="dxa"/>
          <w:bottom w:w="0" w:type="dxa"/>
          <w:right w:w="0" w:type="dxa"/>
        </w:tblCellMar>
      </w:tblPr>
      <w:tr>
        <w:trPr>
          <w:trHeight w:val="199"/>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280"/>
              <w:spacing w:after="0"/>
              <w:rPr>
                <w:sz w:val="20"/>
                <w:szCs w:val="20"/>
                <w:color w:val="auto"/>
              </w:rPr>
            </w:pPr>
            <w:r>
              <w:rPr>
                <w:rFonts w:ascii="Arial" w:cs="Arial" w:eastAsia="Arial" w:hAnsi="Arial"/>
                <w:sz w:val="16"/>
                <w:szCs w:val="16"/>
                <w:color w:val="auto"/>
              </w:rPr>
              <w:t>August 7, 2020</w:t>
            </w:r>
          </w:p>
        </w:tc>
        <w:tc>
          <w:tcPr>
            <w:tcW w:w="2500" w:type="dxa"/>
            <w:vAlign w:val="bottom"/>
          </w:tcPr>
          <w:p>
            <w:pPr>
              <w:ind w:left="1760"/>
              <w:spacing w:after="0"/>
              <w:rPr>
                <w:sz w:val="20"/>
                <w:szCs w:val="20"/>
                <w:color w:val="auto"/>
              </w:rPr>
            </w:pPr>
            <w:r>
              <w:rPr>
                <w:rFonts w:ascii="Arial" w:cs="Arial" w:eastAsia="Arial" w:hAnsi="Arial"/>
                <w:sz w:val="16"/>
                <w:szCs w:val="16"/>
                <w:color w:val="auto"/>
              </w:rPr>
              <w:t>By:</w:t>
            </w:r>
          </w:p>
        </w:tc>
        <w:tc>
          <w:tcPr>
            <w:tcW w:w="5020" w:type="dxa"/>
            <w:vAlign w:val="bottom"/>
          </w:tcPr>
          <w:p>
            <w:pPr>
              <w:ind w:left="20"/>
              <w:spacing w:after="0"/>
              <w:rPr>
                <w:sz w:val="20"/>
                <w:szCs w:val="20"/>
                <w:color w:val="auto"/>
              </w:rPr>
            </w:pPr>
            <w:r>
              <w:rPr>
                <w:rFonts w:ascii="Arial" w:cs="Arial" w:eastAsia="Arial" w:hAnsi="Arial"/>
                <w:sz w:val="16"/>
                <w:szCs w:val="16"/>
                <w:color w:val="auto"/>
              </w:rPr>
              <w:t>/s/ ROBERT P. LOCASCIO</w:t>
            </w:r>
          </w:p>
        </w:tc>
        <w:tc>
          <w:tcPr>
            <w:tcW w:w="0" w:type="dxa"/>
            <w:vAlign w:val="bottom"/>
          </w:tcPr>
          <w:p>
            <w:pPr>
              <w:spacing w:after="0"/>
              <w:rPr>
                <w:sz w:val="1"/>
                <w:szCs w:val="1"/>
                <w:color w:val="auto"/>
              </w:rPr>
            </w:pPr>
          </w:p>
        </w:tc>
      </w:tr>
      <w:tr>
        <w:trPr>
          <w:trHeight w:val="24"/>
        </w:trPr>
        <w:tc>
          <w:tcPr>
            <w:tcW w:w="6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500" w:type="dxa"/>
            <w:vAlign w:val="bottom"/>
            <w:vMerge w:val="restart"/>
          </w:tcPr>
          <w:p>
            <w:pPr>
              <w:ind w:left="1760"/>
              <w:spacing w:after="0"/>
              <w:rPr>
                <w:sz w:val="20"/>
                <w:szCs w:val="20"/>
                <w:color w:val="auto"/>
              </w:rPr>
            </w:pPr>
            <w:r>
              <w:rPr>
                <w:rFonts w:ascii="Arial" w:cs="Arial" w:eastAsia="Arial" w:hAnsi="Arial"/>
                <w:sz w:val="16"/>
                <w:szCs w:val="16"/>
                <w:color w:val="auto"/>
              </w:rPr>
              <w:t>Name:</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Robert P. LoCascio</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00" w:type="dxa"/>
            <w:vAlign w:val="bottom"/>
          </w:tcPr>
          <w:p>
            <w:pPr>
              <w:ind w:left="1760"/>
              <w:spacing w:after="0"/>
              <w:rPr>
                <w:sz w:val="20"/>
                <w:szCs w:val="20"/>
                <w:color w:val="auto"/>
              </w:rPr>
            </w:pPr>
            <w:r>
              <w:rPr>
                <w:rFonts w:ascii="Arial" w:cs="Arial" w:eastAsia="Arial" w:hAnsi="Arial"/>
                <w:sz w:val="16"/>
                <w:szCs w:val="16"/>
                <w:color w:val="auto"/>
              </w:rPr>
              <w:t>Title:</w:t>
            </w:r>
          </w:p>
        </w:tc>
        <w:tc>
          <w:tcPr>
            <w:tcW w:w="5020" w:type="dxa"/>
            <w:vAlign w:val="bottom"/>
          </w:tcPr>
          <w:p>
            <w:pPr>
              <w:ind w:left="20"/>
              <w:spacing w:after="0"/>
              <w:rPr>
                <w:sz w:val="20"/>
                <w:szCs w:val="20"/>
                <w:color w:val="auto"/>
              </w:rPr>
            </w:pPr>
            <w:r>
              <w:rPr>
                <w:rFonts w:ascii="Arial" w:cs="Arial" w:eastAsia="Arial" w:hAnsi="Arial"/>
                <w:sz w:val="16"/>
                <w:szCs w:val="16"/>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267"/>
          </w:cols>
          <w:pgMar w:left="313" w:top="127" w:right="31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u w:val="single" w:color="auto"/>
          <w:color w:val="auto"/>
        </w:rPr>
        <w:t>Exhibit 31.2</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CERTIFICATIONS</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6"/>
          <w:szCs w:val="16"/>
          <w:color w:val="auto"/>
        </w:rPr>
        <w:t>I, John Collins, certify that:</w:t>
      </w:r>
    </w:p>
    <w:p>
      <w:pPr>
        <w:spacing w:after="0" w:line="143" w:lineRule="exact"/>
        <w:rPr>
          <w:sz w:val="20"/>
          <w:szCs w:val="20"/>
          <w:color w:val="auto"/>
        </w:rPr>
      </w:pPr>
    </w:p>
    <w:p>
      <w:pPr>
        <w:ind w:left="287" w:hanging="287"/>
        <w:spacing w:after="0"/>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LivePerson, Inc.;</w:t>
      </w:r>
    </w:p>
    <w:p>
      <w:pPr>
        <w:spacing w:after="0" w:line="143" w:lineRule="exact"/>
        <w:rPr>
          <w:rFonts w:ascii="Arial" w:cs="Arial" w:eastAsia="Arial" w:hAnsi="Arial"/>
          <w:sz w:val="16"/>
          <w:szCs w:val="16"/>
          <w:color w:val="auto"/>
        </w:rPr>
      </w:pPr>
    </w:p>
    <w:p>
      <w:pPr>
        <w:ind w:left="287" w:right="160" w:hanging="287"/>
        <w:spacing w:after="0" w:line="334" w:lineRule="auto"/>
        <w:tabs>
          <w:tab w:leader="none" w:pos="287"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4"/>
          <w:szCs w:val="14"/>
          <w:color w:val="auto"/>
        </w:rPr>
      </w:pPr>
    </w:p>
    <w:p>
      <w:pPr>
        <w:ind w:left="287" w:right="40" w:hanging="287"/>
        <w:spacing w:after="0" w:line="263" w:lineRule="auto"/>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Arial" w:cs="Arial" w:eastAsia="Arial" w:hAnsi="Arial"/>
          <w:sz w:val="16"/>
          <w:szCs w:val="16"/>
          <w:color w:val="auto"/>
        </w:rPr>
      </w:pPr>
    </w:p>
    <w:p>
      <w:pPr>
        <w:ind w:left="287" w:right="300" w:hanging="287"/>
        <w:spacing w:after="0" w:line="334" w:lineRule="auto"/>
        <w:tabs>
          <w:tab w:leader="none" w:pos="287"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sz w:val="20"/>
          <w:szCs w:val="20"/>
          <w:color w:val="auto"/>
        </w:rPr>
      </w:pPr>
    </w:p>
    <w:p>
      <w:pPr>
        <w:jc w:val="both"/>
        <w:ind w:left="287" w:right="80" w:hanging="287"/>
        <w:spacing w:after="0" w:line="253" w:lineRule="auto"/>
        <w:tabs>
          <w:tab w:leader="none" w:pos="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287" w:right="320" w:hanging="287"/>
        <w:spacing w:after="0" w:line="253" w:lineRule="auto"/>
        <w:tabs>
          <w:tab w:leader="none" w:pos="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ind w:left="287" w:right="140" w:hanging="287"/>
        <w:spacing w:after="0" w:line="263" w:lineRule="auto"/>
        <w:tabs>
          <w:tab w:leader="none" w:pos="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287" w:right="280" w:hanging="287"/>
        <w:spacing w:after="0" w:line="253" w:lineRule="auto"/>
        <w:tabs>
          <w:tab w:leader="none" w:pos="2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ind w:left="287" w:right="140" w:hanging="287"/>
        <w:spacing w:after="0" w:line="263" w:lineRule="auto"/>
        <w:tabs>
          <w:tab w:leader="none" w:pos="2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left="287" w:right="260" w:hanging="287"/>
        <w:spacing w:after="0" w:line="263" w:lineRule="auto"/>
        <w:tabs>
          <w:tab w:leader="none" w:pos="28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287" w:hanging="287"/>
        <w:spacing w:after="0"/>
        <w:tabs>
          <w:tab w:leader="none" w:pos="287"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36" w:lineRule="exact"/>
        <w:rPr>
          <w:sz w:val="20"/>
          <w:szCs w:val="20"/>
          <w:color w:val="auto"/>
        </w:rPr>
      </w:pPr>
    </w:p>
    <w:tbl>
      <w:tblPr>
        <w:tblLayout w:type="fixed"/>
        <w:tblInd w:w="87" w:type="dxa"/>
        <w:tblCellMar>
          <w:top w:w="0" w:type="dxa"/>
          <w:left w:w="0" w:type="dxa"/>
          <w:bottom w:w="0" w:type="dxa"/>
          <w:right w:w="0" w:type="dxa"/>
        </w:tblCellMar>
      </w:tblPr>
      <w:tr>
        <w:trPr>
          <w:trHeight w:val="199"/>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2880" w:type="dxa"/>
            <w:vAlign w:val="bottom"/>
          </w:tcPr>
          <w:p>
            <w:pPr>
              <w:ind w:left="280"/>
              <w:spacing w:after="0"/>
              <w:rPr>
                <w:sz w:val="20"/>
                <w:szCs w:val="20"/>
                <w:color w:val="auto"/>
              </w:rPr>
            </w:pPr>
            <w:r>
              <w:rPr>
                <w:rFonts w:ascii="Arial" w:cs="Arial" w:eastAsia="Arial" w:hAnsi="Arial"/>
                <w:sz w:val="16"/>
                <w:szCs w:val="16"/>
                <w:color w:val="auto"/>
              </w:rPr>
              <w:t>August 7, 2020</w:t>
            </w:r>
          </w:p>
        </w:tc>
        <w:tc>
          <w:tcPr>
            <w:tcW w:w="2380" w:type="dxa"/>
            <w:vAlign w:val="bottom"/>
          </w:tcPr>
          <w:p>
            <w:pPr>
              <w:ind w:left="1640"/>
              <w:spacing w:after="0"/>
              <w:rPr>
                <w:sz w:val="20"/>
                <w:szCs w:val="20"/>
                <w:color w:val="auto"/>
              </w:rPr>
            </w:pPr>
            <w:r>
              <w:rPr>
                <w:rFonts w:ascii="Arial" w:cs="Arial" w:eastAsia="Arial" w:hAnsi="Arial"/>
                <w:sz w:val="16"/>
                <w:szCs w:val="16"/>
                <w:color w:val="auto"/>
              </w:rPr>
              <w:t>By:</w:t>
            </w:r>
          </w:p>
        </w:tc>
        <w:tc>
          <w:tcPr>
            <w:tcW w:w="5220" w:type="dxa"/>
            <w:vAlign w:val="bottom"/>
          </w:tcPr>
          <w:p>
            <w:pPr>
              <w:ind w:left="20"/>
              <w:spacing w:after="0"/>
              <w:rPr>
                <w:sz w:val="20"/>
                <w:szCs w:val="20"/>
                <w:color w:val="auto"/>
              </w:rPr>
            </w:pPr>
            <w:r>
              <w:rPr>
                <w:rFonts w:ascii="Arial" w:cs="Arial" w:eastAsia="Arial" w:hAnsi="Arial"/>
                <w:sz w:val="16"/>
                <w:szCs w:val="16"/>
                <w:color w:val="auto"/>
              </w:rPr>
              <w:t>/s/ John Collins</w:t>
            </w:r>
          </w:p>
        </w:tc>
        <w:tc>
          <w:tcPr>
            <w:tcW w:w="0" w:type="dxa"/>
            <w:vAlign w:val="bottom"/>
          </w:tcPr>
          <w:p>
            <w:pPr>
              <w:spacing w:after="0"/>
              <w:rPr>
                <w:sz w:val="1"/>
                <w:szCs w:val="1"/>
                <w:color w:val="auto"/>
              </w:rPr>
            </w:pPr>
          </w:p>
        </w:tc>
      </w:tr>
      <w:tr>
        <w:trPr>
          <w:trHeight w:val="24"/>
        </w:trPr>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380" w:type="dxa"/>
            <w:vAlign w:val="bottom"/>
            <w:vMerge w:val="restart"/>
          </w:tcPr>
          <w:p>
            <w:pPr>
              <w:ind w:left="1640"/>
              <w:spacing w:after="0"/>
              <w:rPr>
                <w:sz w:val="20"/>
                <w:szCs w:val="20"/>
                <w:color w:val="auto"/>
              </w:rPr>
            </w:pPr>
            <w:r>
              <w:rPr>
                <w:rFonts w:ascii="Arial" w:cs="Arial" w:eastAsia="Arial" w:hAnsi="Arial"/>
                <w:sz w:val="16"/>
                <w:szCs w:val="16"/>
                <w:color w:val="auto"/>
              </w:rPr>
              <w:t>Name:</w:t>
            </w: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5220" w:type="dxa"/>
            <w:vAlign w:val="bottom"/>
          </w:tcPr>
          <w:p>
            <w:pPr>
              <w:ind w:left="20"/>
              <w:spacing w:after="0"/>
              <w:rPr>
                <w:sz w:val="20"/>
                <w:szCs w:val="20"/>
                <w:color w:val="auto"/>
              </w:rPr>
            </w:pPr>
            <w:r>
              <w:rPr>
                <w:rFonts w:ascii="Arial" w:cs="Arial" w:eastAsia="Arial" w:hAnsi="Arial"/>
                <w:sz w:val="16"/>
                <w:szCs w:val="16"/>
                <w:color w:val="auto"/>
              </w:rPr>
              <w:t>John Collins</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80" w:type="dxa"/>
            <w:vAlign w:val="bottom"/>
          </w:tcPr>
          <w:p>
            <w:pPr>
              <w:ind w:left="1640"/>
              <w:spacing w:after="0"/>
              <w:rPr>
                <w:sz w:val="20"/>
                <w:szCs w:val="20"/>
                <w:color w:val="auto"/>
              </w:rPr>
            </w:pPr>
            <w:r>
              <w:rPr>
                <w:rFonts w:ascii="Arial" w:cs="Arial" w:eastAsia="Arial" w:hAnsi="Arial"/>
                <w:sz w:val="16"/>
                <w:szCs w:val="16"/>
                <w:color w:val="auto"/>
              </w:rPr>
              <w:t>Title:</w:t>
            </w:r>
          </w:p>
        </w:tc>
        <w:tc>
          <w:tcPr>
            <w:tcW w:w="522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267"/>
          </w:cols>
          <w:pgMar w:left="313" w:top="127" w:right="31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u w:val="single" w:color="auto"/>
          <w:color w:val="auto"/>
        </w:rPr>
        <w:t>Exhibit 32.1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 Robert P. LoCascio, Chief Executive Officer of LivePerson, Inc. (the “Company”), certify, pursuant to 18 U.S.C. Section 1350, as adopted pursuant to Section 906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Sarbanes-Oxley Act of 2002, that:</w:t>
      </w:r>
    </w:p>
    <w:p>
      <w:pPr>
        <w:spacing w:after="0" w:line="131" w:lineRule="exact"/>
        <w:rPr>
          <w:sz w:val="20"/>
          <w:szCs w:val="20"/>
          <w:color w:val="auto"/>
        </w:rPr>
      </w:pPr>
    </w:p>
    <w:p>
      <w:pPr>
        <w:ind w:left="560" w:right="460" w:hanging="286"/>
        <w:spacing w:after="0" w:line="263"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June 30, 2020, as filed with the Securities and Exchange Commission (the “Report”), fully complies with the requirements of Section 13(a) or 15(d) of the Securities Exchange Act of 1934; and</w:t>
      </w:r>
    </w:p>
    <w:p>
      <w:pPr>
        <w:spacing w:after="0" w:line="110" w:lineRule="exact"/>
        <w:rPr>
          <w:rFonts w:ascii="Arial" w:cs="Arial" w:eastAsia="Arial" w:hAnsi="Arial"/>
          <w:sz w:val="16"/>
          <w:szCs w:val="16"/>
          <w:color w:val="auto"/>
        </w:rPr>
      </w:pPr>
    </w:p>
    <w:p>
      <w:pPr>
        <w:ind w:left="560" w:hanging="286"/>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99"/>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60" w:type="dxa"/>
            <w:vAlign w:val="bottom"/>
          </w:tcPr>
          <w:p>
            <w:pPr>
              <w:ind w:left="220"/>
              <w:spacing w:after="0"/>
              <w:rPr>
                <w:sz w:val="20"/>
                <w:szCs w:val="20"/>
                <w:color w:val="auto"/>
              </w:rPr>
            </w:pPr>
            <w:r>
              <w:rPr>
                <w:rFonts w:ascii="Arial" w:cs="Arial" w:eastAsia="Arial" w:hAnsi="Arial"/>
                <w:sz w:val="16"/>
                <w:szCs w:val="16"/>
                <w:color w:val="auto"/>
              </w:rPr>
              <w:t>August 7, 2020</w:t>
            </w:r>
          </w:p>
        </w:tc>
        <w:tc>
          <w:tcPr>
            <w:tcW w:w="2520" w:type="dxa"/>
            <w:vAlign w:val="bottom"/>
          </w:tcPr>
          <w:p>
            <w:pPr>
              <w:ind w:left="1780"/>
              <w:spacing w:after="0"/>
              <w:rPr>
                <w:sz w:val="20"/>
                <w:szCs w:val="20"/>
                <w:color w:val="auto"/>
              </w:rPr>
            </w:pPr>
            <w:r>
              <w:rPr>
                <w:rFonts w:ascii="Arial" w:cs="Arial" w:eastAsia="Arial" w:hAnsi="Arial"/>
                <w:sz w:val="16"/>
                <w:szCs w:val="16"/>
                <w:color w:val="auto"/>
              </w:rPr>
              <w:t>By:</w:t>
            </w:r>
          </w:p>
        </w:tc>
        <w:tc>
          <w:tcPr>
            <w:tcW w:w="4940" w:type="dxa"/>
            <w:vAlign w:val="bottom"/>
          </w:tcPr>
          <w:p>
            <w:pPr>
              <w:ind w:left="20"/>
              <w:spacing w:after="0"/>
              <w:rPr>
                <w:sz w:val="20"/>
                <w:szCs w:val="20"/>
                <w:color w:val="auto"/>
              </w:rPr>
            </w:pPr>
            <w:r>
              <w:rPr>
                <w:rFonts w:ascii="Arial" w:cs="Arial" w:eastAsia="Arial" w:hAnsi="Arial"/>
                <w:sz w:val="16"/>
                <w:szCs w:val="16"/>
                <w:color w:val="auto"/>
              </w:rPr>
              <w:t>/s/ ROBERT P. LOCASCIO</w:t>
            </w:r>
          </w:p>
        </w:tc>
        <w:tc>
          <w:tcPr>
            <w:tcW w:w="0" w:type="dxa"/>
            <w:vAlign w:val="bottom"/>
          </w:tcPr>
          <w:p>
            <w:pPr>
              <w:spacing w:after="0"/>
              <w:rPr>
                <w:sz w:val="1"/>
                <w:szCs w:val="1"/>
                <w:color w:val="auto"/>
              </w:rPr>
            </w:pPr>
          </w:p>
        </w:tc>
      </w:tr>
      <w:tr>
        <w:trPr>
          <w:trHeight w:val="24"/>
        </w:trPr>
        <w:tc>
          <w:tcPr>
            <w:tcW w:w="5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520" w:type="dxa"/>
            <w:vAlign w:val="bottom"/>
            <w:vMerge w:val="restart"/>
          </w:tcPr>
          <w:p>
            <w:pPr>
              <w:ind w:left="1780"/>
              <w:spacing w:after="0"/>
              <w:rPr>
                <w:sz w:val="20"/>
                <w:szCs w:val="20"/>
                <w:color w:val="auto"/>
              </w:rPr>
            </w:pPr>
            <w:r>
              <w:rPr>
                <w:rFonts w:ascii="Arial" w:cs="Arial" w:eastAsia="Arial" w:hAnsi="Arial"/>
                <w:sz w:val="16"/>
                <w:szCs w:val="16"/>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4940" w:type="dxa"/>
            <w:vAlign w:val="bottom"/>
          </w:tcPr>
          <w:p>
            <w:pPr>
              <w:ind w:left="20"/>
              <w:spacing w:after="0"/>
              <w:rPr>
                <w:sz w:val="20"/>
                <w:szCs w:val="20"/>
                <w:color w:val="auto"/>
              </w:rPr>
            </w:pPr>
            <w:r>
              <w:rPr>
                <w:rFonts w:ascii="Arial" w:cs="Arial" w:eastAsia="Arial" w:hAnsi="Arial"/>
                <w:sz w:val="16"/>
                <w:szCs w:val="16"/>
                <w:color w:val="auto"/>
              </w:rPr>
              <w:t>Robert P. LoCascio</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520" w:type="dxa"/>
            <w:vAlign w:val="bottom"/>
          </w:tcPr>
          <w:p>
            <w:pPr>
              <w:ind w:left="1780"/>
              <w:spacing w:after="0"/>
              <w:rPr>
                <w:sz w:val="20"/>
                <w:szCs w:val="20"/>
                <w:color w:val="auto"/>
              </w:rPr>
            </w:pPr>
            <w:r>
              <w:rPr>
                <w:rFonts w:ascii="Arial" w:cs="Arial" w:eastAsia="Arial" w:hAnsi="Arial"/>
                <w:sz w:val="16"/>
                <w:szCs w:val="16"/>
                <w:color w:val="auto"/>
              </w:rPr>
              <w:t>Title:</w:t>
            </w:r>
          </w:p>
        </w:tc>
        <w:tc>
          <w:tcPr>
            <w:tcW w:w="4940" w:type="dxa"/>
            <w:vAlign w:val="bottom"/>
          </w:tcPr>
          <w:p>
            <w:pPr>
              <w:ind w:left="20"/>
              <w:spacing w:after="0"/>
              <w:rPr>
                <w:sz w:val="20"/>
                <w:szCs w:val="20"/>
                <w:color w:val="auto"/>
              </w:rPr>
            </w:pPr>
            <w:r>
              <w:rPr>
                <w:rFonts w:ascii="Arial" w:cs="Arial" w:eastAsia="Arial" w:hAnsi="Arial"/>
                <w:sz w:val="16"/>
                <w:szCs w:val="16"/>
                <w:color w:val="auto"/>
              </w:rPr>
              <w:t>Chief Executive Officer (principal executive officer)</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60"/>
          </w:cols>
          <w:pgMar w:left="320" w:top="127" w:right="31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u w:val="single" w:color="auto"/>
          <w:color w:val="auto"/>
        </w:rPr>
        <w:t>Exhibit 32.2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5"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I, John Collins, Chief Financial Officer of LivePerson, Inc. (the “Company”), certify, pursuant to 18 U.S.C. Section 1350, as adopted pursuant to Section 906 of the Sarbanes-Oxley Act of 2002, that:</w:t>
      </w:r>
    </w:p>
    <w:p>
      <w:pPr>
        <w:spacing w:after="0" w:line="111" w:lineRule="exact"/>
        <w:rPr>
          <w:sz w:val="20"/>
          <w:szCs w:val="20"/>
          <w:color w:val="auto"/>
        </w:rPr>
      </w:pPr>
    </w:p>
    <w:p>
      <w:pPr>
        <w:ind w:left="560" w:right="460" w:hanging="286"/>
        <w:spacing w:after="0" w:line="263"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June 30, 2020, as filed with the Securities and Exchange Commission (the “Report”), fully complies with the requirements of Section 13(a) or 15(d) of the Securities Exchange Act of 1934; and</w:t>
      </w:r>
    </w:p>
    <w:p>
      <w:pPr>
        <w:spacing w:after="0" w:line="110" w:lineRule="exact"/>
        <w:rPr>
          <w:rFonts w:ascii="Arial" w:cs="Arial" w:eastAsia="Arial" w:hAnsi="Arial"/>
          <w:sz w:val="16"/>
          <w:szCs w:val="16"/>
          <w:color w:val="auto"/>
        </w:rPr>
      </w:pPr>
    </w:p>
    <w:p>
      <w:pPr>
        <w:ind w:left="560" w:hanging="286"/>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660" w:type="dxa"/>
            <w:vAlign w:val="bottom"/>
          </w:tcPr>
          <w:p>
            <w:pPr>
              <w:spacing w:after="0"/>
              <w:rPr>
                <w:sz w:val="20"/>
                <w:szCs w:val="20"/>
                <w:color w:val="auto"/>
              </w:rPr>
            </w:pPr>
            <w:r>
              <w:rPr>
                <w:rFonts w:ascii="Arial" w:cs="Arial" w:eastAsia="Arial" w:hAnsi="Arial"/>
                <w:sz w:val="16"/>
                <w:szCs w:val="16"/>
                <w:color w:val="auto"/>
              </w:rPr>
              <w:t>Date:</w:t>
            </w:r>
          </w:p>
        </w:tc>
        <w:tc>
          <w:tcPr>
            <w:tcW w:w="3080" w:type="dxa"/>
            <w:vAlign w:val="bottom"/>
          </w:tcPr>
          <w:p>
            <w:pPr>
              <w:ind w:left="340"/>
              <w:spacing w:after="0"/>
              <w:rPr>
                <w:sz w:val="20"/>
                <w:szCs w:val="20"/>
                <w:color w:val="auto"/>
              </w:rPr>
            </w:pPr>
            <w:r>
              <w:rPr>
                <w:rFonts w:ascii="Arial" w:cs="Arial" w:eastAsia="Arial" w:hAnsi="Arial"/>
                <w:sz w:val="16"/>
                <w:szCs w:val="16"/>
                <w:color w:val="auto"/>
              </w:rPr>
              <w:t>August 7, 2020</w:t>
            </w:r>
          </w:p>
        </w:tc>
        <w:tc>
          <w:tcPr>
            <w:tcW w:w="2540" w:type="dxa"/>
            <w:vAlign w:val="bottom"/>
          </w:tcPr>
          <w:p>
            <w:pPr>
              <w:ind w:left="1800"/>
              <w:spacing w:after="0"/>
              <w:rPr>
                <w:sz w:val="20"/>
                <w:szCs w:val="20"/>
                <w:color w:val="auto"/>
              </w:rPr>
            </w:pPr>
            <w:r>
              <w:rPr>
                <w:rFonts w:ascii="Arial" w:cs="Arial" w:eastAsia="Arial" w:hAnsi="Arial"/>
                <w:sz w:val="16"/>
                <w:szCs w:val="16"/>
                <w:color w:val="auto"/>
              </w:rPr>
              <w:t>By:</w:t>
            </w:r>
          </w:p>
        </w:tc>
        <w:tc>
          <w:tcPr>
            <w:tcW w:w="4760" w:type="dxa"/>
            <w:vAlign w:val="bottom"/>
          </w:tcPr>
          <w:p>
            <w:pPr>
              <w:ind w:left="20"/>
              <w:spacing w:after="0"/>
              <w:rPr>
                <w:sz w:val="20"/>
                <w:szCs w:val="20"/>
                <w:color w:val="auto"/>
              </w:rPr>
            </w:pPr>
            <w:r>
              <w:rPr>
                <w:rFonts w:ascii="Arial" w:cs="Arial" w:eastAsia="Arial" w:hAnsi="Arial"/>
                <w:sz w:val="16"/>
                <w:szCs w:val="16"/>
                <w:color w:val="auto"/>
              </w:rPr>
              <w:t>/s/ John Collins</w:t>
            </w:r>
          </w:p>
        </w:tc>
        <w:tc>
          <w:tcPr>
            <w:tcW w:w="0" w:type="dxa"/>
            <w:vAlign w:val="bottom"/>
          </w:tcPr>
          <w:p>
            <w:pPr>
              <w:spacing w:after="0"/>
              <w:rPr>
                <w:sz w:val="1"/>
                <w:szCs w:val="1"/>
                <w:color w:val="auto"/>
              </w:rPr>
            </w:pPr>
          </w:p>
        </w:tc>
      </w:tr>
      <w:tr>
        <w:trPr>
          <w:trHeight w:val="24"/>
        </w:trPr>
        <w:tc>
          <w:tcPr>
            <w:tcW w:w="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40" w:type="dxa"/>
            <w:vAlign w:val="bottom"/>
            <w:vMerge w:val="restart"/>
          </w:tcPr>
          <w:p>
            <w:pPr>
              <w:ind w:left="1800"/>
              <w:spacing w:after="0"/>
              <w:rPr>
                <w:sz w:val="20"/>
                <w:szCs w:val="20"/>
                <w:color w:val="auto"/>
              </w:rPr>
            </w:pPr>
            <w:r>
              <w:rPr>
                <w:rFonts w:ascii="Arial" w:cs="Arial" w:eastAsia="Arial" w:hAnsi="Arial"/>
                <w:sz w:val="16"/>
                <w:szCs w:val="16"/>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540" w:type="dxa"/>
            <w:vAlign w:val="bottom"/>
            <w:vMerge w:val="continue"/>
          </w:tcPr>
          <w:p>
            <w:pPr>
              <w:spacing w:after="0"/>
              <w:rPr>
                <w:sz w:val="17"/>
                <w:szCs w:val="17"/>
                <w:color w:val="auto"/>
              </w:rPr>
            </w:pPr>
          </w:p>
        </w:tc>
        <w:tc>
          <w:tcPr>
            <w:tcW w:w="4760" w:type="dxa"/>
            <w:vAlign w:val="bottom"/>
          </w:tcPr>
          <w:p>
            <w:pPr>
              <w:ind w:left="20"/>
              <w:spacing w:after="0"/>
              <w:rPr>
                <w:sz w:val="20"/>
                <w:szCs w:val="20"/>
                <w:color w:val="auto"/>
              </w:rPr>
            </w:pPr>
            <w:r>
              <w:rPr>
                <w:rFonts w:ascii="Arial" w:cs="Arial" w:eastAsia="Arial" w:hAnsi="Arial"/>
                <w:sz w:val="16"/>
                <w:szCs w:val="16"/>
                <w:color w:val="auto"/>
              </w:rPr>
              <w:t>John Collins</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ind w:left="1800"/>
              <w:spacing w:after="0"/>
              <w:rPr>
                <w:sz w:val="20"/>
                <w:szCs w:val="20"/>
                <w:color w:val="auto"/>
              </w:rPr>
            </w:pPr>
            <w:r>
              <w:rPr>
                <w:rFonts w:ascii="Arial" w:cs="Arial" w:eastAsia="Arial" w:hAnsi="Arial"/>
                <w:sz w:val="16"/>
                <w:szCs w:val="16"/>
                <w:color w:val="auto"/>
              </w:rPr>
              <w:t>Title:</w:t>
            </w:r>
          </w:p>
        </w:tc>
        <w:tc>
          <w:tcPr>
            <w:tcW w:w="476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60"/>
      </w:cols>
      <w:pgMar w:left="320" w:top="1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4"/>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7"/>
    </w:lvl>
  </w:abstractNum>
  <w:abstractNum w:abstractNumId="13">
    <w:nsid w:val="54E49EB4"/>
    <w:multiLevelType w:val="hybridMultilevel"/>
    <w:lvl w:ilvl="0">
      <w:lvlJc w:val="left"/>
      <w:lvlText w:val="%1."/>
      <w:numFmt w:val="decimal"/>
      <w:start w:val="8"/>
    </w:lvl>
  </w:abstractNum>
  <w:abstractNum w:abstractNumId="14">
    <w:nsid w:val="71F32454"/>
    <w:multiLevelType w:val="hybridMultilevel"/>
    <w:lvl w:ilvl="0">
      <w:lvlJc w:val="left"/>
      <w:lvlText w:val="%1."/>
      <w:numFmt w:val="decimal"/>
      <w:start w:val="9"/>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lvl w:ilvl="1">
      <w:lvlJc w:val="left"/>
      <w:lvlText w:val="%2"/>
      <w:numFmt w:val="decimal"/>
      <w:start w:val="104"/>
    </w:lvl>
  </w:abstractNum>
  <w:abstractNum w:abstractNumId="29">
    <w:nsid w:val="5577F8E1"/>
    <w:multiLevelType w:val="hybridMultilevel"/>
    <w:lvl w:ilvl="0">
      <w:lvlJc w:val="left"/>
      <w:lvlText w:val="**"/>
      <w:numFmt w:val="bullet"/>
      <w:start w:val="1"/>
    </w:lvl>
    <w:lvl w:ilvl="1">
      <w:lvlJc w:val="left"/>
      <w:lvlText w:val="%2"/>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2020-08-10T06:03:48Z</dcterms:created>
  <dcterms:modified xsi:type="dcterms:W3CDTF">2020-08-10T06:03:48Z</dcterms:modified>
</cp:coreProperties>
</file>