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19" w:before="0" w:after="0"/>
        <w:jc w:val="right"/>
        <w:rPr>
          <w:rFonts w:ascii="Arial;sans-serif" w:hAnsi="Arial;sans-serif"/>
          <w:b/>
          <w:color w:val="000000"/>
          <w:sz w:val="22"/>
        </w:rPr>
      </w:pPr>
      <w:r>
        <w:rPr>
          <w:rFonts w:ascii="Arial;sans-serif" w:hAnsi="Arial;sans-serif"/>
          <w:b/>
          <w:color w:val="000000"/>
          <w:sz w:val="22"/>
        </w:rPr>
        <w:t>Filed by: LivePerson, Inc.</w:t>
      </w:r>
    </w:p>
    <w:p>
      <w:pPr>
        <w:pStyle w:val="TextBody"/>
        <w:bidi w:val="0"/>
        <w:spacing w:lineRule="auto" w:line="319" w:before="0" w:after="0"/>
        <w:jc w:val="right"/>
        <w:rPr>
          <w:rFonts w:ascii="Arial;sans-serif" w:hAnsi="Arial;sans-serif"/>
          <w:b/>
          <w:color w:val="000000"/>
          <w:sz w:val="22"/>
        </w:rPr>
      </w:pPr>
      <w:r>
        <w:rPr>
          <w:rFonts w:ascii="Arial;sans-serif" w:hAnsi="Arial;sans-serif"/>
          <w:b/>
          <w:color w:val="000000"/>
          <w:sz w:val="22"/>
        </w:rPr>
        <w:t>Pursuant to Rule 425 under the Securities Act of 1933</w:t>
      </w:r>
    </w:p>
    <w:p>
      <w:pPr>
        <w:pStyle w:val="TextBody"/>
        <w:bidi w:val="0"/>
        <w:spacing w:lineRule="auto" w:line="319" w:before="0" w:after="0"/>
        <w:jc w:val="right"/>
        <w:rPr>
          <w:rFonts w:ascii="Arial;sans-serif" w:hAnsi="Arial;sans-serif"/>
          <w:b/>
          <w:color w:val="000000"/>
          <w:sz w:val="22"/>
        </w:rPr>
      </w:pPr>
      <w:r>
        <w:rPr>
          <w:rFonts w:ascii="Arial;sans-serif" w:hAnsi="Arial;sans-serif"/>
          <w:b/>
          <w:color w:val="000000"/>
          <w:sz w:val="22"/>
        </w:rPr>
        <w:t>Subject Company: LivePerson, Inc.</w:t>
      </w:r>
    </w:p>
    <w:p>
      <w:pPr>
        <w:pStyle w:val="TextBody"/>
        <w:bidi w:val="0"/>
        <w:spacing w:lineRule="auto" w:line="319" w:before="0" w:after="0"/>
        <w:jc w:val="right"/>
        <w:rPr>
          <w:rFonts w:ascii="Arial;sans-serif" w:hAnsi="Arial;sans-serif"/>
          <w:b/>
          <w:color w:val="000000"/>
          <w:sz w:val="22"/>
        </w:rPr>
      </w:pPr>
      <w:r>
        <w:rPr>
          <w:rFonts w:ascii="Arial;sans-serif" w:hAnsi="Arial;sans-serif"/>
          <w:b/>
          <w:color w:val="000000"/>
          <w:sz w:val="22"/>
        </w:rPr>
        <w:t>Commission File No. 001-41926</w:t>
      </w:r>
    </w:p>
    <w:p>
      <w:pPr>
        <w:pStyle w:val="TextBody"/>
        <w:bidi w:val="0"/>
        <w:spacing w:lineRule="auto" w:line="319" w:before="0" w:after="0"/>
        <w:jc w:val="right"/>
        <w:rPr>
          <w:rFonts w:ascii="Arial;sans-serif" w:hAnsi="Arial;sans-serif"/>
          <w:b/>
          <w:color w:val="000000"/>
          <w:sz w:val="22"/>
        </w:rPr>
      </w:pPr>
      <w:r>
        <w:rPr>
          <w:rFonts w:ascii="Arial;sans-serif" w:hAnsi="Arial;sans-serif"/>
          <w:b/>
          <w:color w:val="000000"/>
          <w:sz w:val="22"/>
        </w:rPr>
        <w:t>Date: July 8, 2026</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FROM: Global Communications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TO: LP-Global</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DATE: July 8, 2026</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SUBJECT: SoundHound Acquisition Close Process Update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As we continue to progress through the close process of SoundHound’s acquisition of LivePerson, several important milestones have already been completed and additional steps are now underway. Below is a high-level overview of where things stand today and what employees can expect as the process moves forward.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What's Done</w:t>
      </w:r>
    </w:p>
    <w:p>
      <w:pPr>
        <w:pStyle w:val="TextBody"/>
        <w:bidi w:val="0"/>
        <w:spacing w:before="0" w:after="0"/>
        <w:jc w:val="both"/>
        <w:rPr/>
      </w:pPr>
      <w:r>
        <w:rPr/>
      </w:r>
    </w:p>
    <w:p>
      <w:pPr>
        <w:pStyle w:val="TextBody"/>
        <w:bidi w:val="0"/>
        <w:spacing w:lineRule="auto" w:line="319" w:before="0" w:after="0"/>
        <w:ind w:left="0" w:right="0" w:firstLine="180"/>
        <w:jc w:val="both"/>
        <w:rPr>
          <w:color w:val="000000"/>
        </w:rPr>
      </w:pPr>
      <w:r>
        <w:rPr>
          <w:color w:val="000000"/>
        </w:rPr>
        <w:t xml:space="preserve">✅ </w:t>
      </w:r>
      <w:r>
        <w:rPr>
          <w:rFonts w:ascii="Arial;sans-serif" w:hAnsi="Arial;sans-serif"/>
          <w:b w:val="false"/>
          <w:color w:val="000000"/>
          <w:sz w:val="22"/>
        </w:rPr>
        <w:t>Key regulatory filings have been submitted.</w:t>
      </w:r>
    </w:p>
    <w:p>
      <w:pPr>
        <w:pStyle w:val="TextBody"/>
        <w:bidi w:val="0"/>
        <w:spacing w:lineRule="auto" w:line="319" w:before="0" w:after="0"/>
        <w:ind w:left="0" w:right="0" w:firstLine="180"/>
        <w:jc w:val="both"/>
        <w:rPr>
          <w:color w:val="000000"/>
        </w:rPr>
      </w:pPr>
      <w:r>
        <w:rPr>
          <w:color w:val="000000"/>
        </w:rPr>
        <w:t xml:space="preserve">✅ </w:t>
      </w:r>
      <w:r>
        <w:rPr>
          <w:rFonts w:ascii="Arial;sans-serif" w:hAnsi="Arial;sans-serif"/>
          <w:b w:val="false"/>
          <w:color w:val="000000"/>
          <w:sz w:val="22"/>
        </w:rPr>
        <w:t>Key regulatory review processes are underway.</w:t>
      </w:r>
    </w:p>
    <w:p>
      <w:pPr>
        <w:pStyle w:val="TextBody"/>
        <w:bidi w:val="0"/>
        <w:spacing w:lineRule="auto" w:line="319" w:before="0" w:after="0"/>
        <w:ind w:left="0" w:right="0" w:firstLine="180"/>
        <w:jc w:val="both"/>
        <w:rPr>
          <w:color w:val="000000"/>
        </w:rPr>
      </w:pPr>
      <w:r>
        <w:rPr>
          <w:color w:val="000000"/>
        </w:rPr>
        <w:t xml:space="preserve">✅ </w:t>
      </w:r>
      <w:r>
        <w:rPr>
          <w:rFonts w:ascii="Arial;sans-serif" w:hAnsi="Arial;sans-serif"/>
          <w:b w:val="false"/>
          <w:color w:val="000000"/>
          <w:sz w:val="22"/>
        </w:rPr>
        <w:t>Planning for the LivePerson shareholder meeting and vote has been launched.</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What's Ahead</w:t>
      </w:r>
    </w:p>
    <w:p>
      <w:pPr>
        <w:pStyle w:val="TextBody"/>
        <w:bidi w:val="0"/>
        <w:spacing w:before="0" w:after="0"/>
        <w:jc w:val="both"/>
        <w:rPr/>
      </w:pPr>
      <w:r>
        <w:rPr/>
      </w:r>
    </w:p>
    <w:p>
      <w:pPr>
        <w:pStyle w:val="TextBody"/>
        <w:bidi w:val="0"/>
        <w:spacing w:lineRule="auto" w:line="319" w:before="0" w:after="0"/>
        <w:ind w:left="0" w:right="0" w:firstLine="180"/>
        <w:jc w:val="both"/>
        <w:rPr>
          <w:color w:val="000000"/>
        </w:rPr>
      </w:pPr>
      <w:r>
        <w:rPr>
          <w:color w:val="000000"/>
        </w:rPr>
        <w:t>▶️</w:t>
      </w:r>
      <w:r>
        <w:rPr>
          <w:rFonts w:ascii="Arial;sans-serif" w:hAnsi="Arial;sans-serif"/>
          <w:b w:val="false"/>
          <w:color w:val="000000"/>
          <w:sz w:val="22"/>
        </w:rPr>
        <w:t>Preparing to distribute official shareholder voting and education materials.</w:t>
      </w:r>
    </w:p>
    <w:p>
      <w:pPr>
        <w:pStyle w:val="TextBody"/>
        <w:bidi w:val="0"/>
        <w:spacing w:lineRule="auto" w:line="319" w:before="0" w:after="0"/>
        <w:ind w:left="0" w:right="0" w:firstLine="180"/>
        <w:jc w:val="both"/>
        <w:rPr>
          <w:color w:val="000000"/>
        </w:rPr>
      </w:pPr>
      <w:r>
        <w:rPr>
          <w:color w:val="000000"/>
        </w:rPr>
        <w:t>▶️</w:t>
      </w:r>
      <w:r>
        <w:rPr>
          <w:rFonts w:ascii="Arial;sans-serif" w:hAnsi="Arial;sans-serif"/>
          <w:b w:val="false"/>
          <w:color w:val="000000"/>
          <w:sz w:val="22"/>
        </w:rPr>
        <w:t>Preparing to open the shareholder voting period.</w:t>
      </w:r>
    </w:p>
    <w:p>
      <w:pPr>
        <w:pStyle w:val="TextBody"/>
        <w:bidi w:val="0"/>
        <w:spacing w:lineRule="auto" w:line="319" w:before="0" w:after="0"/>
        <w:ind w:left="0" w:right="0" w:firstLine="180"/>
        <w:jc w:val="both"/>
        <w:rPr>
          <w:color w:val="000000"/>
        </w:rPr>
      </w:pPr>
      <w:r>
        <w:rPr>
          <w:color w:val="000000"/>
        </w:rPr>
        <w:t>▶️</w:t>
      </w:r>
      <w:r>
        <w:rPr>
          <w:rFonts w:ascii="Arial;sans-serif" w:hAnsi="Arial;sans-serif"/>
          <w:b w:val="false"/>
          <w:color w:val="000000"/>
          <w:sz w:val="22"/>
        </w:rPr>
        <w:t>Holding the shareholder meeting and shareholder vote.</w:t>
      </w:r>
    </w:p>
    <w:p>
      <w:pPr>
        <w:pStyle w:val="TextBody"/>
        <w:bidi w:val="0"/>
        <w:spacing w:lineRule="auto" w:line="319" w:before="0" w:after="0"/>
        <w:ind w:left="0" w:right="0" w:firstLine="180"/>
        <w:jc w:val="both"/>
        <w:rPr>
          <w:color w:val="000000"/>
        </w:rPr>
      </w:pPr>
      <w:r>
        <w:rPr>
          <w:color w:val="000000"/>
        </w:rPr>
        <w:t>▶️</w:t>
      </w:r>
      <w:r>
        <w:rPr>
          <w:rFonts w:ascii="Arial;sans-serif" w:hAnsi="Arial;sans-serif"/>
          <w:b w:val="false"/>
          <w:color w:val="000000"/>
          <w:sz w:val="22"/>
        </w:rPr>
        <w:t>Completing remaining regulatory approvals and closing activities.</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Ongoing</w:t>
      </w:r>
    </w:p>
    <w:p>
      <w:pPr>
        <w:pStyle w:val="TextBody"/>
        <w:bidi w:val="0"/>
        <w:spacing w:before="0" w:after="0"/>
        <w:jc w:val="both"/>
        <w:rPr/>
      </w:pPr>
      <w:r>
        <w:rPr/>
      </w:r>
    </w:p>
    <w:p>
      <w:pPr>
        <w:pStyle w:val="TextBody"/>
        <w:bidi w:val="0"/>
        <w:spacing w:lineRule="auto" w:line="319" w:before="0" w:after="0"/>
        <w:ind w:left="0" w:right="0" w:hanging="270"/>
        <w:jc w:val="both"/>
        <w:rPr>
          <w:color w:val="000000"/>
        </w:rPr>
      </w:pPr>
      <w:r>
        <w:rPr>
          <w:color w:val="000000"/>
        </w:rPr>
        <w:t xml:space="preserve">🔄 </w:t>
      </w:r>
      <w:r>
        <w:rPr>
          <w:rFonts w:ascii="Arial;sans-serif" w:hAnsi="Arial;sans-serif"/>
          <w:b w:val="false"/>
          <w:color w:val="000000"/>
          <w:sz w:val="22"/>
        </w:rPr>
        <w:t xml:space="preserve">Functional leaders and key teams from both organizations are participating in post-closing strategic planning to support speed to success as one company following closing. </w:t>
      </w:r>
    </w:p>
    <w:p>
      <w:pPr>
        <w:pStyle w:val="TextBody"/>
        <w:bidi w:val="0"/>
        <w:spacing w:before="0" w:after="0"/>
        <w:ind w:left="0" w:right="0" w:hanging="270"/>
        <w:jc w:val="both"/>
        <w:rPr/>
      </w:pPr>
      <w:r>
        <w:rPr/>
      </w:r>
    </w:p>
    <w:p>
      <w:pPr>
        <w:pStyle w:val="TextBody"/>
        <w:bidi w:val="0"/>
        <w:spacing w:lineRule="auto" w:line="319" w:before="0" w:after="0"/>
        <w:ind w:left="0" w:right="0" w:hanging="270"/>
        <w:jc w:val="both"/>
        <w:rPr>
          <w:color w:val="000000"/>
        </w:rPr>
      </w:pPr>
      <w:r>
        <w:rPr>
          <w:color w:val="000000"/>
        </w:rPr>
        <w:t xml:space="preserve">🔄 </w:t>
      </w:r>
      <w:r>
        <w:rPr>
          <w:rFonts w:ascii="Arial;sans-serif" w:hAnsi="Arial;sans-serif"/>
          <w:b w:val="false"/>
          <w:color w:val="000000"/>
          <w:sz w:val="22"/>
        </w:rPr>
        <w:t>We will continue to provide updates as the process progresses. Until then, our focus remains on serving customers and supporting one another as we move through this next phase.</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 xml:space="preserve">The employee question submission form remains open and monitored for questions related to SoundHound’s proposed acquisition of LivePerson. As a reminder, there are certain questions that are not yet known and may not be confirmed until after the deal closes. </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Forward Looking Statements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This document contains "forward looking statements" within the meaning of the U.S. federal securities laws about the expectations, beliefs, plans, intentions, prospects, financial results and strategies relating to SoundHound AI’s proposed acquisition of LivePerson. Such forward 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Further information on factors that could affect the forward looking statements and expectations above are contained in the filings that LivePerson and/or SoundHound AI and/or have filed, or that will be filed, with the U.S. Securities and Exchange Commission, including as will be set forth in the registration statement to be filed with the U.S. Securities and Exchange Commission in connection with the proposed acquisition and the Proxy Statement/Prospectus contained therein.</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No Offer or Solicitation</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Additional Information and Where to Find It</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In connection with the proposed transaction, SoundHound AI has filed with the U.S. Securities and Exchange Commission (the “SEC”) a draft registration statement on Form S-4 (the “Form S-4”) that includes a preliminary proxy statement of LivePerson and that, once final, will also constitute a prospectus of SoundHound AI with respect to the shares of the SoundHound AI common stock to be issued in the proposed transaction (the “proxy statement/prospectus”). The definitive proxy statement/prospectus (if and when available) will be filed with the SEC by, and mailed to shareholders of, LivePerson. Each of SoundHound AI and LivePerson may also file other relevant documents with the SEC regarding the proposed transaction.</w:t>
      </w:r>
    </w:p>
    <w:p>
      <w:pPr>
        <w:pStyle w:val="TextBody"/>
        <w:bidi w:val="0"/>
        <w:spacing w:before="0" w:after="0"/>
        <w:jc w:val="both"/>
        <w:rPr/>
      </w:pPr>
      <w:r>
        <w:rPr/>
      </w:r>
    </w:p>
    <w:p>
      <w:pPr>
        <w:pStyle w:val="TextBody"/>
        <w:bidi w:val="0"/>
        <w:spacing w:lineRule="auto" w:line="319"/>
        <w:jc w:val="both"/>
        <w:rPr>
          <w:rFonts w:ascii="Arial;sans-serif" w:hAnsi="Arial;sans-serif"/>
          <w:b w:val="false"/>
          <w:color w:val="000000"/>
          <w:sz w:val="22"/>
        </w:rPr>
      </w:pPr>
      <w:r>
        <w:rPr>
          <w:rFonts w:ascii="Arial;sans-serif" w:hAnsi="Arial;sans-serif"/>
          <w:b w:val="false"/>
          <w:color w:val="000000"/>
          <w:sz w:val="22"/>
        </w:rPr>
        <w:t xml:space="preserve">This communication is not a substitute for the Form S-4, the definitive proxy statement/prospectus or any other document that SoundHound AI or LivePerson may file with the SEC in connection with the proposed transaction. INVESTORS AND SECURITY HOLDERS OF SOUNDHOUND AI AND LIVEPERSON ARE URGED TO READ THE FORM S-4, THE PROXY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879</Words>
  <Characters>5132</Characters>
  <CharactersWithSpaces>5984</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